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630" w:rsidRDefault="006F4E6B">
      <w:pPr>
        <w:spacing w:after="16" w:line="259" w:lineRule="auto"/>
        <w:jc w:val="right"/>
      </w:pPr>
      <w:r>
        <w:rPr>
          <w:noProof/>
        </w:rPr>
        <w:drawing>
          <wp:anchor distT="0" distB="0" distL="114300" distR="114300" simplePos="0" relativeHeight="251658240" behindDoc="0" locked="0" layoutInCell="1" allowOverlap="0">
            <wp:simplePos x="0" y="0"/>
            <wp:positionH relativeFrom="column">
              <wp:posOffset>6100445</wp:posOffset>
            </wp:positionH>
            <wp:positionV relativeFrom="paragraph">
              <wp:posOffset>0</wp:posOffset>
            </wp:positionV>
            <wp:extent cx="650240" cy="711200"/>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7"/>
                    <a:stretch>
                      <a:fillRect/>
                    </a:stretch>
                  </pic:blipFill>
                  <pic:spPr>
                    <a:xfrm>
                      <a:off x="0" y="0"/>
                      <a:ext cx="650240" cy="711200"/>
                    </a:xfrm>
                    <a:prstGeom prst="rect">
                      <a:avLst/>
                    </a:prstGeom>
                  </pic:spPr>
                </pic:pic>
              </a:graphicData>
            </a:graphic>
          </wp:anchor>
        </w:drawing>
      </w:r>
      <w:r w:rsidR="00D76DB1">
        <w:rPr>
          <w:rFonts w:ascii="Calibri" w:eastAsia="Calibri" w:hAnsi="Calibri" w:cs="Calibri"/>
          <w:b/>
          <w:sz w:val="22"/>
        </w:rPr>
        <w:t>Leadership, Technology, &amp; Workforce Development</w:t>
      </w:r>
      <w:r>
        <w:rPr>
          <w:rFonts w:ascii="Calibri" w:eastAsia="Calibri" w:hAnsi="Calibri" w:cs="Calibri"/>
          <w:b/>
          <w:sz w:val="22"/>
        </w:rPr>
        <w:t xml:space="preserve"> Department </w:t>
      </w:r>
    </w:p>
    <w:p w:rsidR="00B35630" w:rsidRDefault="006F4E6B">
      <w:pPr>
        <w:spacing w:after="16" w:line="259" w:lineRule="auto"/>
        <w:jc w:val="right"/>
      </w:pPr>
      <w:r>
        <w:rPr>
          <w:rFonts w:ascii="Calibri" w:eastAsia="Calibri" w:hAnsi="Calibri" w:cs="Calibri"/>
          <w:b/>
          <w:sz w:val="22"/>
        </w:rPr>
        <w:t xml:space="preserve">Dewar College of Education and Human Services </w:t>
      </w:r>
    </w:p>
    <w:p w:rsidR="00B35630" w:rsidRDefault="006F4E6B">
      <w:pPr>
        <w:spacing w:after="16" w:line="259" w:lineRule="auto"/>
        <w:jc w:val="right"/>
      </w:pPr>
      <w:r>
        <w:rPr>
          <w:rFonts w:ascii="Calibri" w:eastAsia="Calibri" w:hAnsi="Calibri" w:cs="Calibri"/>
          <w:b/>
          <w:sz w:val="22"/>
        </w:rPr>
        <w:t>Valdosta State Universit</w:t>
      </w:r>
      <w:r>
        <w:rPr>
          <w:rFonts w:ascii="Calibri" w:eastAsia="Calibri" w:hAnsi="Calibri" w:cs="Calibri"/>
          <w:b/>
          <w:i/>
        </w:rPr>
        <w:t xml:space="preserve">y </w:t>
      </w:r>
    </w:p>
    <w:p w:rsidR="00C74A61" w:rsidRDefault="00C74A61" w:rsidP="00E74650"/>
    <w:p w:rsidR="00B35630" w:rsidRDefault="00C74A61" w:rsidP="00C74A61">
      <w:pPr>
        <w:pStyle w:val="Title"/>
      </w:pPr>
      <w:r>
        <w:t xml:space="preserve">M.Ed. in IT – </w:t>
      </w:r>
      <w:r w:rsidR="0069176D">
        <w:t>School Library Media</w:t>
      </w:r>
      <w:r w:rsidR="006F4E6B">
        <w:rPr>
          <w:rFonts w:ascii="Calibri" w:eastAsia="Calibri" w:hAnsi="Calibri" w:cs="Calibri"/>
          <w:b/>
          <w:sz w:val="28"/>
        </w:rPr>
        <w:t xml:space="preserve"> </w:t>
      </w:r>
    </w:p>
    <w:p w:rsidR="00E74650" w:rsidRDefault="00E74650" w:rsidP="00E74650"/>
    <w:p w:rsidR="00822C84" w:rsidRDefault="00501A99" w:rsidP="00822C84">
      <w:pPr>
        <w:pStyle w:val="Heading1"/>
      </w:pPr>
      <w:r>
        <w:t>Course Sequence</w:t>
      </w:r>
      <w:r w:rsidR="00B3042F">
        <w:t xml:space="preserve"> (Sample)</w:t>
      </w:r>
    </w:p>
    <w:p w:rsidR="001D61B8" w:rsidRDefault="001D61B8" w:rsidP="00E74650">
      <w:r w:rsidRPr="00C74A61">
        <w:t xml:space="preserve">Course </w:t>
      </w:r>
      <w:r w:rsidR="00C74A61">
        <w:t>s</w:t>
      </w:r>
      <w:r w:rsidR="00612E3F" w:rsidRPr="00C74A61">
        <w:t xml:space="preserve">equences may </w:t>
      </w:r>
      <w:r w:rsidR="00C74A61">
        <w:t>v</w:t>
      </w:r>
      <w:r w:rsidR="00612E3F" w:rsidRPr="00C74A61">
        <w:t xml:space="preserve">ary </w:t>
      </w:r>
      <w:r w:rsidR="00C74A61">
        <w:t>s</w:t>
      </w:r>
      <w:r w:rsidR="00612E3F" w:rsidRPr="00C74A61">
        <w:t xml:space="preserve">lightly </w:t>
      </w:r>
      <w:r w:rsidR="00C74A61">
        <w:t>b</w:t>
      </w:r>
      <w:r w:rsidR="00612E3F" w:rsidRPr="00C74A61">
        <w:t xml:space="preserve">ased on </w:t>
      </w:r>
      <w:r w:rsidR="00C74A61">
        <w:t>i</w:t>
      </w:r>
      <w:r w:rsidR="00612E3F" w:rsidRPr="00C74A61">
        <w:t xml:space="preserve">ndividual </w:t>
      </w:r>
      <w:r w:rsidR="00C74A61">
        <w:t>p</w:t>
      </w:r>
      <w:r w:rsidR="00612E3F" w:rsidRPr="00C74A61">
        <w:t xml:space="preserve">rogram </w:t>
      </w:r>
      <w:r w:rsidR="00C74A61">
        <w:t>of study plan.</w:t>
      </w:r>
    </w:p>
    <w:p w:rsidR="00E74650" w:rsidRPr="00C74A61" w:rsidRDefault="00E74650" w:rsidP="00E74650"/>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8"/>
        <w:gridCol w:w="1538"/>
        <w:gridCol w:w="1539"/>
        <w:gridCol w:w="1539"/>
        <w:gridCol w:w="1539"/>
        <w:gridCol w:w="1539"/>
        <w:gridCol w:w="263"/>
        <w:gridCol w:w="1276"/>
      </w:tblGrid>
      <w:tr w:rsidR="004B1702" w:rsidTr="004B1702">
        <w:tc>
          <w:tcPr>
            <w:tcW w:w="9525" w:type="dxa"/>
            <w:gridSpan w:val="7"/>
            <w:shd w:val="clear" w:color="auto" w:fill="000000" w:themeFill="text1"/>
          </w:tcPr>
          <w:p w:rsidR="004B1702" w:rsidRDefault="004B1702">
            <w:pPr>
              <w:spacing w:after="0" w:line="239" w:lineRule="auto"/>
              <w:ind w:left="0" w:firstLine="0"/>
              <w:rPr>
                <w:rFonts w:asciiTheme="minorHAnsi" w:hAnsiTheme="minorHAnsi" w:cstheme="minorHAnsi"/>
              </w:rPr>
            </w:pPr>
            <w:r w:rsidRPr="00501A99">
              <w:rPr>
                <w:rFonts w:asciiTheme="minorHAnsi" w:hAnsiTheme="minorHAnsi" w:cstheme="minorHAnsi"/>
                <w:color w:val="FFFFFF" w:themeColor="background1"/>
              </w:rPr>
              <w:t>Fall Starts</w:t>
            </w:r>
          </w:p>
        </w:tc>
        <w:tc>
          <w:tcPr>
            <w:tcW w:w="1276" w:type="dxa"/>
            <w:shd w:val="clear" w:color="auto" w:fill="000000" w:themeFill="text1"/>
          </w:tcPr>
          <w:p w:rsidR="004B1702" w:rsidRPr="00501A99" w:rsidRDefault="004B1702">
            <w:pPr>
              <w:spacing w:after="0" w:line="239" w:lineRule="auto"/>
              <w:ind w:left="0" w:firstLine="0"/>
              <w:rPr>
                <w:rFonts w:asciiTheme="minorHAnsi" w:hAnsiTheme="minorHAnsi" w:cstheme="minorHAnsi"/>
                <w:color w:val="FFFFFF" w:themeColor="background1"/>
              </w:rPr>
            </w:pPr>
          </w:p>
        </w:tc>
      </w:tr>
      <w:tr w:rsidR="004B1702" w:rsidTr="004B1702">
        <w:tc>
          <w:tcPr>
            <w:tcW w:w="1568"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p>
        </w:tc>
        <w:tc>
          <w:tcPr>
            <w:tcW w:w="1538"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Fall</w:t>
            </w:r>
          </w:p>
        </w:tc>
        <w:tc>
          <w:tcPr>
            <w:tcW w:w="1539"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Spring</w:t>
            </w:r>
          </w:p>
        </w:tc>
        <w:tc>
          <w:tcPr>
            <w:tcW w:w="1539"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Summer</w:t>
            </w:r>
          </w:p>
        </w:tc>
        <w:tc>
          <w:tcPr>
            <w:tcW w:w="1539"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Fall</w:t>
            </w:r>
          </w:p>
        </w:tc>
        <w:tc>
          <w:tcPr>
            <w:tcW w:w="1539"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Spring</w:t>
            </w:r>
          </w:p>
        </w:tc>
        <w:tc>
          <w:tcPr>
            <w:tcW w:w="1539" w:type="dxa"/>
            <w:gridSpan w:val="2"/>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2</w:t>
            </w:r>
            <w:r w:rsidRPr="004B1702">
              <w:rPr>
                <w:rFonts w:asciiTheme="minorHAnsi" w:hAnsiTheme="minorHAnsi" w:cstheme="minorHAnsi"/>
                <w:vertAlign w:val="superscript"/>
              </w:rPr>
              <w:t>nd</w:t>
            </w:r>
            <w:r>
              <w:rPr>
                <w:rFonts w:asciiTheme="minorHAnsi" w:hAnsiTheme="minorHAnsi" w:cstheme="minorHAnsi"/>
              </w:rPr>
              <w:t xml:space="preserve"> Summer</w:t>
            </w:r>
          </w:p>
        </w:tc>
      </w:tr>
      <w:tr w:rsidR="004B1702" w:rsidTr="004B1702">
        <w:tc>
          <w:tcPr>
            <w:tcW w:w="1568" w:type="dxa"/>
            <w:shd w:val="clear" w:color="auto" w:fill="D9D9D9" w:themeFill="background1" w:themeFillShade="D9"/>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Required</w:t>
            </w:r>
          </w:p>
        </w:tc>
        <w:tc>
          <w:tcPr>
            <w:tcW w:w="1538" w:type="dxa"/>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CIED5999*</w:t>
            </w:r>
          </w:p>
          <w:p w:rsidR="00822C84" w:rsidRDefault="00822C84">
            <w:pPr>
              <w:spacing w:after="0" w:line="239" w:lineRule="auto"/>
              <w:ind w:left="0" w:firstLine="0"/>
              <w:rPr>
                <w:rFonts w:asciiTheme="minorHAnsi" w:hAnsiTheme="minorHAnsi" w:cstheme="minorHAnsi"/>
              </w:rPr>
            </w:pPr>
            <w:r>
              <w:rPr>
                <w:rFonts w:asciiTheme="minorHAnsi" w:hAnsiTheme="minorHAnsi" w:cstheme="minorHAnsi"/>
              </w:rPr>
              <w:t>ITED7100</w:t>
            </w:r>
          </w:p>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ITED7202</w:t>
            </w:r>
          </w:p>
        </w:tc>
        <w:tc>
          <w:tcPr>
            <w:tcW w:w="1539" w:type="dxa"/>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ITED7300</w:t>
            </w:r>
          </w:p>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ITED7203</w:t>
            </w:r>
          </w:p>
        </w:tc>
        <w:tc>
          <w:tcPr>
            <w:tcW w:w="1539" w:type="dxa"/>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CIED7060</w:t>
            </w:r>
          </w:p>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ITED7201</w:t>
            </w:r>
          </w:p>
        </w:tc>
        <w:tc>
          <w:tcPr>
            <w:tcW w:w="1539" w:type="dxa"/>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ITED7200</w:t>
            </w:r>
          </w:p>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ITED7400</w:t>
            </w:r>
          </w:p>
        </w:tc>
        <w:tc>
          <w:tcPr>
            <w:tcW w:w="1539" w:type="dxa"/>
          </w:tcPr>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ITED7299</w:t>
            </w:r>
          </w:p>
          <w:p w:rsidR="004B1702" w:rsidRDefault="004B1702">
            <w:pPr>
              <w:spacing w:after="0" w:line="239" w:lineRule="auto"/>
              <w:ind w:left="0" w:firstLine="0"/>
              <w:rPr>
                <w:rFonts w:asciiTheme="minorHAnsi" w:hAnsiTheme="minorHAnsi" w:cstheme="minorHAnsi"/>
              </w:rPr>
            </w:pPr>
            <w:r>
              <w:rPr>
                <w:rFonts w:asciiTheme="minorHAnsi" w:hAnsiTheme="minorHAnsi" w:cstheme="minorHAnsi"/>
              </w:rPr>
              <w:t>ITED7204</w:t>
            </w:r>
          </w:p>
        </w:tc>
        <w:tc>
          <w:tcPr>
            <w:tcW w:w="1539" w:type="dxa"/>
            <w:gridSpan w:val="2"/>
          </w:tcPr>
          <w:p w:rsidR="00D76DB1" w:rsidRDefault="004B1702">
            <w:pPr>
              <w:spacing w:after="0" w:line="239" w:lineRule="auto"/>
              <w:ind w:left="0" w:firstLine="0"/>
              <w:rPr>
                <w:rFonts w:asciiTheme="minorHAnsi" w:hAnsiTheme="minorHAnsi" w:cstheme="minorHAnsi"/>
              </w:rPr>
            </w:pPr>
            <w:r>
              <w:rPr>
                <w:rFonts w:asciiTheme="minorHAnsi" w:hAnsiTheme="minorHAnsi" w:cstheme="minorHAnsi"/>
              </w:rPr>
              <w:t>(SPEC3000</w:t>
            </w:r>
          </w:p>
          <w:p w:rsidR="004B1702" w:rsidRDefault="00D76DB1">
            <w:pPr>
              <w:spacing w:after="0" w:line="239" w:lineRule="auto"/>
              <w:ind w:left="0" w:firstLine="0"/>
              <w:rPr>
                <w:rFonts w:asciiTheme="minorHAnsi" w:hAnsiTheme="minorHAnsi" w:cstheme="minorHAnsi"/>
              </w:rPr>
            </w:pPr>
            <w:r>
              <w:rPr>
                <w:rFonts w:asciiTheme="minorHAnsi" w:hAnsiTheme="minorHAnsi" w:cstheme="minorHAnsi"/>
              </w:rPr>
              <w:t>/SPEC7000</w:t>
            </w:r>
            <w:r w:rsidR="004B1702">
              <w:rPr>
                <w:rFonts w:asciiTheme="minorHAnsi" w:hAnsiTheme="minorHAnsi" w:cstheme="minorHAnsi"/>
              </w:rPr>
              <w:t>)</w:t>
            </w:r>
          </w:p>
        </w:tc>
      </w:tr>
    </w:tbl>
    <w:p w:rsidR="00880F89" w:rsidRDefault="00880F89">
      <w:pPr>
        <w:spacing w:after="0" w:line="239" w:lineRule="auto"/>
        <w:ind w:left="0" w:firstLine="0"/>
        <w:rPr>
          <w:rFonts w:asciiTheme="minorHAnsi" w:hAnsiTheme="minorHAnsi" w:cstheme="minorHAnsi"/>
          <w:sz w:val="20"/>
          <w:szCs w:val="24"/>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9"/>
        <w:gridCol w:w="1538"/>
        <w:gridCol w:w="1539"/>
        <w:gridCol w:w="1539"/>
        <w:gridCol w:w="1538"/>
        <w:gridCol w:w="1539"/>
        <w:gridCol w:w="260"/>
        <w:gridCol w:w="1279"/>
      </w:tblGrid>
      <w:tr w:rsidR="004B1702" w:rsidTr="004B1702">
        <w:tc>
          <w:tcPr>
            <w:tcW w:w="9522" w:type="dxa"/>
            <w:gridSpan w:val="7"/>
            <w:shd w:val="clear" w:color="auto" w:fill="000000" w:themeFill="text1"/>
          </w:tcPr>
          <w:p w:rsidR="004B1702" w:rsidRDefault="004B1702" w:rsidP="00D940DD">
            <w:pPr>
              <w:spacing w:after="0" w:line="239" w:lineRule="auto"/>
              <w:ind w:left="0" w:firstLine="0"/>
              <w:rPr>
                <w:rFonts w:asciiTheme="minorHAnsi" w:hAnsiTheme="minorHAnsi" w:cstheme="minorHAnsi"/>
              </w:rPr>
            </w:pPr>
            <w:r w:rsidRPr="00501A99">
              <w:rPr>
                <w:rFonts w:asciiTheme="minorHAnsi" w:hAnsiTheme="minorHAnsi" w:cstheme="minorHAnsi"/>
                <w:color w:val="FFFFFF" w:themeColor="background1"/>
              </w:rPr>
              <w:t>Spring Starts</w:t>
            </w:r>
          </w:p>
        </w:tc>
        <w:tc>
          <w:tcPr>
            <w:tcW w:w="1279" w:type="dxa"/>
            <w:shd w:val="clear" w:color="auto" w:fill="000000" w:themeFill="text1"/>
          </w:tcPr>
          <w:p w:rsidR="004B1702" w:rsidRPr="00501A99" w:rsidRDefault="004B1702" w:rsidP="00D940DD">
            <w:pPr>
              <w:spacing w:after="0" w:line="239" w:lineRule="auto"/>
              <w:ind w:left="0" w:firstLine="0"/>
              <w:rPr>
                <w:rFonts w:asciiTheme="minorHAnsi" w:hAnsiTheme="minorHAnsi" w:cstheme="minorHAnsi"/>
                <w:color w:val="FFFFFF" w:themeColor="background1"/>
              </w:rPr>
            </w:pPr>
          </w:p>
        </w:tc>
      </w:tr>
      <w:tr w:rsidR="004B1702" w:rsidTr="004B1702">
        <w:tc>
          <w:tcPr>
            <w:tcW w:w="1569"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p>
        </w:tc>
        <w:tc>
          <w:tcPr>
            <w:tcW w:w="1538"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Spring</w:t>
            </w:r>
          </w:p>
        </w:tc>
        <w:tc>
          <w:tcPr>
            <w:tcW w:w="1539"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Summer</w:t>
            </w:r>
          </w:p>
        </w:tc>
        <w:tc>
          <w:tcPr>
            <w:tcW w:w="1539"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1</w:t>
            </w:r>
            <w:r w:rsidRPr="00880F89">
              <w:rPr>
                <w:rFonts w:asciiTheme="minorHAnsi" w:hAnsiTheme="minorHAnsi" w:cstheme="minorHAnsi"/>
                <w:vertAlign w:val="superscript"/>
              </w:rPr>
              <w:t>st</w:t>
            </w:r>
            <w:r>
              <w:rPr>
                <w:rFonts w:asciiTheme="minorHAnsi" w:hAnsiTheme="minorHAnsi" w:cstheme="minorHAnsi"/>
              </w:rPr>
              <w:t xml:space="preserve"> Fall</w:t>
            </w:r>
          </w:p>
        </w:tc>
        <w:tc>
          <w:tcPr>
            <w:tcW w:w="1538"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Spring</w:t>
            </w:r>
          </w:p>
        </w:tc>
        <w:tc>
          <w:tcPr>
            <w:tcW w:w="1539" w:type="dxa"/>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2</w:t>
            </w:r>
            <w:r w:rsidRPr="00880F89">
              <w:rPr>
                <w:rFonts w:asciiTheme="minorHAnsi" w:hAnsiTheme="minorHAnsi" w:cstheme="minorHAnsi"/>
                <w:vertAlign w:val="superscript"/>
              </w:rPr>
              <w:t>nd</w:t>
            </w:r>
            <w:r>
              <w:rPr>
                <w:rFonts w:asciiTheme="minorHAnsi" w:hAnsiTheme="minorHAnsi" w:cstheme="minorHAnsi"/>
              </w:rPr>
              <w:t xml:space="preserve"> Summer</w:t>
            </w:r>
          </w:p>
        </w:tc>
        <w:tc>
          <w:tcPr>
            <w:tcW w:w="1539" w:type="dxa"/>
            <w:gridSpan w:val="2"/>
            <w:shd w:val="clear" w:color="auto" w:fill="D9D9D9" w:themeFill="background1" w:themeFillShade="D9"/>
          </w:tcPr>
          <w:p w:rsidR="004B1702" w:rsidRDefault="004B1702" w:rsidP="00D940DD">
            <w:pPr>
              <w:spacing w:after="0" w:line="239" w:lineRule="auto"/>
              <w:ind w:left="0" w:firstLine="0"/>
              <w:rPr>
                <w:rFonts w:asciiTheme="minorHAnsi" w:hAnsiTheme="minorHAnsi" w:cstheme="minorHAnsi"/>
              </w:rPr>
            </w:pPr>
            <w:r>
              <w:rPr>
                <w:rFonts w:asciiTheme="minorHAnsi" w:hAnsiTheme="minorHAnsi" w:cstheme="minorHAnsi"/>
              </w:rPr>
              <w:t>2</w:t>
            </w:r>
            <w:r w:rsidRPr="004B1702">
              <w:rPr>
                <w:rFonts w:asciiTheme="minorHAnsi" w:hAnsiTheme="minorHAnsi" w:cstheme="minorHAnsi"/>
                <w:vertAlign w:val="superscript"/>
              </w:rPr>
              <w:t>nd</w:t>
            </w:r>
            <w:r>
              <w:rPr>
                <w:rFonts w:asciiTheme="minorHAnsi" w:hAnsiTheme="minorHAnsi" w:cstheme="minorHAnsi"/>
              </w:rPr>
              <w:t xml:space="preserve"> Fall</w:t>
            </w:r>
          </w:p>
        </w:tc>
      </w:tr>
      <w:tr w:rsidR="00D76DB1" w:rsidTr="004B1702">
        <w:tc>
          <w:tcPr>
            <w:tcW w:w="1569" w:type="dxa"/>
            <w:shd w:val="clear" w:color="auto" w:fill="D9D9D9" w:themeFill="background1" w:themeFillShade="D9"/>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Required</w:t>
            </w:r>
          </w:p>
        </w:tc>
        <w:tc>
          <w:tcPr>
            <w:tcW w:w="1538" w:type="dxa"/>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CIED5999*</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ITED7100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ITED7203</w:t>
            </w:r>
          </w:p>
        </w:tc>
        <w:tc>
          <w:tcPr>
            <w:tcW w:w="1539" w:type="dxa"/>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CIED7060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ITED7201</w:t>
            </w:r>
          </w:p>
        </w:tc>
        <w:tc>
          <w:tcPr>
            <w:tcW w:w="1539" w:type="dxa"/>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ITED7200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ITED7202</w:t>
            </w:r>
          </w:p>
        </w:tc>
        <w:tc>
          <w:tcPr>
            <w:tcW w:w="1538" w:type="dxa"/>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ITED7300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ITED7204</w:t>
            </w:r>
          </w:p>
        </w:tc>
        <w:tc>
          <w:tcPr>
            <w:tcW w:w="1539" w:type="dxa"/>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(SPEC3000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/SPEC7000)</w:t>
            </w:r>
          </w:p>
        </w:tc>
        <w:tc>
          <w:tcPr>
            <w:tcW w:w="1539" w:type="dxa"/>
            <w:gridSpan w:val="2"/>
          </w:tcPr>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ITED7400</w:t>
            </w:r>
          </w:p>
          <w:p w:rsidR="00D76DB1" w:rsidRDefault="00D76DB1" w:rsidP="00D76DB1">
            <w:pPr>
              <w:spacing w:after="0" w:line="239" w:lineRule="auto"/>
              <w:ind w:left="0" w:firstLine="0"/>
              <w:rPr>
                <w:rFonts w:asciiTheme="minorHAnsi" w:hAnsiTheme="minorHAnsi" w:cstheme="minorHAnsi"/>
              </w:rPr>
            </w:pPr>
            <w:r>
              <w:rPr>
                <w:rFonts w:asciiTheme="minorHAnsi" w:hAnsiTheme="minorHAnsi" w:cstheme="minorHAnsi"/>
              </w:rPr>
              <w:t>ITED7299</w:t>
            </w:r>
          </w:p>
        </w:tc>
      </w:tr>
    </w:tbl>
    <w:p w:rsidR="00B46AD7" w:rsidRDefault="00B46AD7">
      <w:pPr>
        <w:spacing w:after="0" w:line="239" w:lineRule="auto"/>
        <w:ind w:left="0" w:firstLine="0"/>
        <w:rPr>
          <w:rFonts w:asciiTheme="minorHAnsi" w:hAnsiTheme="minorHAnsi" w:cstheme="minorHAnsi"/>
          <w:szCs w:val="24"/>
        </w:rPr>
      </w:pPr>
    </w:p>
    <w:p w:rsidR="004B1702" w:rsidRDefault="004B1702" w:rsidP="004B1702">
      <w:r w:rsidRPr="00880F89">
        <w:t xml:space="preserve">* </w:t>
      </w:r>
      <w:r w:rsidRPr="00501A99">
        <w:rPr>
          <w:b/>
        </w:rPr>
        <w:t>EDUC5999</w:t>
      </w:r>
      <w:r w:rsidRPr="00880F89">
        <w:t xml:space="preserve"> is a zero</w:t>
      </w:r>
      <w:r>
        <w:t>-</w:t>
      </w:r>
      <w:r w:rsidRPr="00880F89">
        <w:t xml:space="preserve">credit course in the first semester that is required for those seeking </w:t>
      </w:r>
      <w:proofErr w:type="spellStart"/>
      <w:r w:rsidRPr="00880F89">
        <w:t>GaPSC</w:t>
      </w:r>
      <w:proofErr w:type="spellEnd"/>
      <w:r w:rsidRPr="00880F89">
        <w:t xml:space="preserve"> certificate upgrade. </w:t>
      </w:r>
    </w:p>
    <w:p w:rsidR="004B1702" w:rsidRDefault="004B1702">
      <w:pPr>
        <w:spacing w:after="0" w:line="239" w:lineRule="auto"/>
        <w:ind w:left="0" w:firstLine="0"/>
        <w:rPr>
          <w:rFonts w:asciiTheme="minorHAnsi" w:hAnsiTheme="minorHAnsi" w:cstheme="minorHAnsi"/>
          <w:szCs w:val="24"/>
        </w:rPr>
      </w:pPr>
    </w:p>
    <w:p w:rsidR="0059185B" w:rsidRDefault="006F4E6B" w:rsidP="00501A99">
      <w:pPr>
        <w:pStyle w:val="Heading1"/>
      </w:pPr>
      <w:r>
        <w:t xml:space="preserve">Course Descriptions </w:t>
      </w:r>
    </w:p>
    <w:p w:rsidR="00E74650" w:rsidRPr="00E74650" w:rsidRDefault="00E74650" w:rsidP="00E74650">
      <w:pPr>
        <w:pStyle w:val="Heading2"/>
        <w:rPr>
          <w:rStyle w:val="normaltextrun"/>
        </w:rPr>
      </w:pPr>
      <w:r w:rsidRPr="00E74650">
        <w:rPr>
          <w:rStyle w:val="normaltextrun"/>
        </w:rPr>
        <w:t>Required Courses</w:t>
      </w:r>
    </w:p>
    <w:p w:rsidR="00D25771" w:rsidRDefault="00D25771" w:rsidP="0059185B">
      <w:pPr>
        <w:pStyle w:val="paragraph"/>
        <w:spacing w:before="0" w:beforeAutospacing="0" w:after="0" w:afterAutospacing="0"/>
        <w:textAlignment w:val="baseline"/>
        <w:rPr>
          <w:rStyle w:val="normaltextrun"/>
          <w:rFonts w:ascii="Calibri" w:hAnsi="Calibri" w:cs="Calibri"/>
          <w:b/>
          <w:bCs/>
        </w:rPr>
      </w:pPr>
    </w:p>
    <w:p w:rsidR="00B3042F" w:rsidRDefault="00B3042F" w:rsidP="0059185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ITED7100</w:t>
      </w:r>
      <w:r w:rsidR="00F171CF">
        <w:rPr>
          <w:rStyle w:val="normaltextrun"/>
          <w:rFonts w:ascii="Calibri" w:hAnsi="Calibri" w:cs="Calibri"/>
          <w:b/>
          <w:bCs/>
        </w:rPr>
        <w:t>.</w:t>
      </w:r>
      <w:r>
        <w:rPr>
          <w:rStyle w:val="normaltextrun"/>
          <w:rFonts w:ascii="Calibri" w:hAnsi="Calibri" w:cs="Calibri"/>
          <w:b/>
          <w:bCs/>
        </w:rPr>
        <w:t xml:space="preserve"> </w:t>
      </w:r>
      <w:r w:rsidR="00E74650">
        <w:rPr>
          <w:rStyle w:val="normaltextrun"/>
          <w:rFonts w:ascii="Calibri" w:hAnsi="Calibri" w:cs="Calibri"/>
          <w:b/>
          <w:bCs/>
        </w:rPr>
        <w:t>Foundations in Instructional Design and Technology. 3 Hours.</w:t>
      </w:r>
      <w:r w:rsidR="00E74650" w:rsidRPr="008C2E4E">
        <w:rPr>
          <w:rStyle w:val="normaltextrun"/>
          <w:rFonts w:ascii="Calibri" w:hAnsi="Calibri" w:cs="Calibri"/>
          <w:bCs/>
          <w:i/>
        </w:rPr>
        <w:t xml:space="preserve"> </w:t>
      </w:r>
      <w:r w:rsidR="008C2E4E" w:rsidRPr="008C2E4E">
        <w:rPr>
          <w:rStyle w:val="normaltextrun"/>
          <w:rFonts w:ascii="Calibri" w:hAnsi="Calibri" w:cs="Calibri"/>
          <w:bCs/>
          <w:i/>
        </w:rPr>
        <w:t>(Fall, Spring</w:t>
      </w:r>
      <w:r w:rsidR="008C2E4E">
        <w:rPr>
          <w:rStyle w:val="normaltextrun"/>
          <w:rFonts w:ascii="Calibri" w:hAnsi="Calibri" w:cs="Calibri"/>
          <w:bCs/>
          <w:i/>
        </w:rPr>
        <w:t xml:space="preserve"> only</w:t>
      </w:r>
      <w:r w:rsidR="008C2E4E" w:rsidRPr="008C2E4E">
        <w:rPr>
          <w:rStyle w:val="normaltextrun"/>
          <w:rFonts w:ascii="Calibri" w:hAnsi="Calibri" w:cs="Calibri"/>
          <w:bCs/>
          <w:i/>
        </w:rPr>
        <w:t>)</w:t>
      </w:r>
    </w:p>
    <w:p w:rsidR="00E74650" w:rsidRPr="00E74650" w:rsidRDefault="00E74650" w:rsidP="0059185B">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Introduction to the field of instructional design and technology through exploring the self, theories of learning, instruction, and technology integration, as well as the context surrounding professional practice.</w:t>
      </w:r>
    </w:p>
    <w:p w:rsidR="00E74650" w:rsidRDefault="00E74650" w:rsidP="0059185B">
      <w:pPr>
        <w:pStyle w:val="paragraph"/>
        <w:spacing w:before="0" w:beforeAutospacing="0" w:after="0" w:afterAutospacing="0"/>
        <w:textAlignment w:val="baseline"/>
        <w:rPr>
          <w:rStyle w:val="normaltextrun"/>
          <w:rFonts w:ascii="Calibri" w:hAnsi="Calibri" w:cs="Calibri"/>
          <w:b/>
          <w:bCs/>
        </w:rPr>
      </w:pPr>
    </w:p>
    <w:p w:rsidR="00B26AD7" w:rsidRDefault="00B26AD7" w:rsidP="00B26AD7">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ITED7200. Digital Literacy and Citizenship. 3 Hours. </w:t>
      </w:r>
      <w:r w:rsidRPr="008C2E4E">
        <w:rPr>
          <w:rStyle w:val="normaltextrun"/>
          <w:rFonts w:ascii="Calibri" w:hAnsi="Calibri" w:cs="Calibri"/>
          <w:bCs/>
          <w:i/>
        </w:rPr>
        <w:t>(Fall</w:t>
      </w:r>
      <w:r>
        <w:rPr>
          <w:rStyle w:val="normaltextrun"/>
          <w:rFonts w:ascii="Calibri" w:hAnsi="Calibri" w:cs="Calibri"/>
          <w:bCs/>
          <w:i/>
        </w:rPr>
        <w:t xml:space="preserve"> only</w:t>
      </w:r>
      <w:r w:rsidRPr="008C2E4E">
        <w:rPr>
          <w:rStyle w:val="normaltextrun"/>
          <w:rFonts w:ascii="Calibri" w:hAnsi="Calibri" w:cs="Calibri"/>
          <w:bCs/>
          <w:i/>
        </w:rPr>
        <w:t>)</w:t>
      </w:r>
    </w:p>
    <w:p w:rsidR="00B26AD7" w:rsidRDefault="00B26AD7" w:rsidP="00B26AD7">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Integration and evaluation of tools and resources to support digital learning environments. Topics include examining digital resources, using safe and ethical practices, and participating in a digital world.</w:t>
      </w:r>
    </w:p>
    <w:p w:rsidR="00B26AD7" w:rsidRDefault="00B26AD7" w:rsidP="0059185B">
      <w:pPr>
        <w:pStyle w:val="paragraph"/>
        <w:spacing w:before="0" w:beforeAutospacing="0" w:after="0" w:afterAutospacing="0"/>
        <w:textAlignment w:val="baseline"/>
        <w:rPr>
          <w:rStyle w:val="normaltextrun"/>
          <w:rFonts w:ascii="Calibri" w:hAnsi="Calibri" w:cs="Calibri"/>
          <w:b/>
          <w:bCs/>
        </w:rPr>
      </w:pPr>
    </w:p>
    <w:p w:rsidR="00B3042F" w:rsidRDefault="00B3042F" w:rsidP="0059185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ITED7300</w:t>
      </w:r>
      <w:r w:rsidR="00F171CF">
        <w:rPr>
          <w:rStyle w:val="normaltextrun"/>
          <w:rFonts w:ascii="Calibri" w:hAnsi="Calibri" w:cs="Calibri"/>
          <w:b/>
          <w:bCs/>
        </w:rPr>
        <w:t>.</w:t>
      </w:r>
      <w:r w:rsidR="00E74650">
        <w:rPr>
          <w:rStyle w:val="normaltextrun"/>
          <w:rFonts w:ascii="Calibri" w:hAnsi="Calibri" w:cs="Calibri"/>
          <w:b/>
          <w:bCs/>
        </w:rPr>
        <w:t xml:space="preserve"> Instructional Design and Technology Integration. 3 Hours. </w:t>
      </w:r>
      <w:r w:rsidR="008C2E4E" w:rsidRPr="008C2E4E">
        <w:rPr>
          <w:rStyle w:val="normaltextrun"/>
          <w:rFonts w:ascii="Calibri" w:hAnsi="Calibri" w:cs="Calibri"/>
          <w:bCs/>
          <w:i/>
        </w:rPr>
        <w:t>(Spring</w:t>
      </w:r>
      <w:r w:rsidR="008C2E4E">
        <w:rPr>
          <w:rStyle w:val="normaltextrun"/>
          <w:rFonts w:ascii="Calibri" w:hAnsi="Calibri" w:cs="Calibri"/>
          <w:bCs/>
          <w:i/>
        </w:rPr>
        <w:t xml:space="preserve"> only</w:t>
      </w:r>
      <w:r w:rsidR="008C2E4E" w:rsidRPr="008C2E4E">
        <w:rPr>
          <w:rStyle w:val="normaltextrun"/>
          <w:rFonts w:ascii="Calibri" w:hAnsi="Calibri" w:cs="Calibri"/>
          <w:bCs/>
          <w:i/>
        </w:rPr>
        <w:t>)</w:t>
      </w:r>
    </w:p>
    <w:p w:rsidR="00ED502F" w:rsidRDefault="00E74650" w:rsidP="00ED502F">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Design and implementation of technology-infused learning activities and assessment in a professional context.</w:t>
      </w:r>
    </w:p>
    <w:p w:rsidR="00ED502F" w:rsidRDefault="00ED502F" w:rsidP="00ED502F">
      <w:pPr>
        <w:pStyle w:val="paragraph"/>
        <w:spacing w:before="0" w:beforeAutospacing="0" w:after="0" w:afterAutospacing="0"/>
        <w:textAlignment w:val="baseline"/>
        <w:rPr>
          <w:rFonts w:ascii="Calibri" w:hAnsi="Calibri" w:cs="Calibri"/>
          <w:b/>
          <w:bCs/>
        </w:rPr>
      </w:pPr>
    </w:p>
    <w:p w:rsidR="00B26AD7" w:rsidRDefault="00B26AD7" w:rsidP="00B26AD7">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ITED7400. Creation and Management of Digital Learning Environments. 3 Hours. </w:t>
      </w:r>
      <w:r w:rsidRPr="008C2E4E">
        <w:rPr>
          <w:rStyle w:val="normaltextrun"/>
          <w:rFonts w:ascii="Calibri" w:hAnsi="Calibri" w:cs="Calibri"/>
          <w:bCs/>
          <w:i/>
        </w:rPr>
        <w:t>(Fall</w:t>
      </w:r>
      <w:r>
        <w:rPr>
          <w:rStyle w:val="normaltextrun"/>
          <w:rFonts w:ascii="Calibri" w:hAnsi="Calibri" w:cs="Calibri"/>
          <w:bCs/>
          <w:i/>
        </w:rPr>
        <w:t xml:space="preserve"> only</w:t>
      </w:r>
      <w:r w:rsidRPr="008C2E4E">
        <w:rPr>
          <w:rStyle w:val="normaltextrun"/>
          <w:rFonts w:ascii="Calibri" w:hAnsi="Calibri" w:cs="Calibri"/>
          <w:bCs/>
          <w:i/>
        </w:rPr>
        <w:t>)</w:t>
      </w:r>
    </w:p>
    <w:p w:rsidR="00B26AD7" w:rsidRDefault="00B26AD7" w:rsidP="00B26AD7">
      <w:pPr>
        <w:pStyle w:val="paragraph"/>
        <w:spacing w:before="0" w:beforeAutospacing="0" w:after="0" w:afterAutospacing="0"/>
        <w:textAlignment w:val="baseline"/>
        <w:rPr>
          <w:rStyle w:val="normaltextrun"/>
          <w:rFonts w:ascii="Calibri" w:hAnsi="Calibri" w:cs="Calibri"/>
          <w:bCs/>
        </w:rPr>
      </w:pPr>
      <w:r w:rsidRPr="00E74650">
        <w:rPr>
          <w:rStyle w:val="normaltextrun"/>
          <w:rFonts w:ascii="Calibri" w:hAnsi="Calibri" w:cs="Calibri"/>
          <w:bCs/>
        </w:rPr>
        <w:t>Create and manage digital learning environments. Includes purchasing and management of software, hardware, and networking infrastructure, evaluation and selection of digital tools, and creation of learning spaces.</w:t>
      </w:r>
    </w:p>
    <w:p w:rsidR="00D25771" w:rsidRDefault="00D25771" w:rsidP="00D25771">
      <w:pPr>
        <w:rPr>
          <w:rStyle w:val="normaltextrun"/>
          <w:rFonts w:ascii="Calibri" w:hAnsi="Calibri" w:cs="Calibri"/>
          <w:b/>
          <w:bCs/>
        </w:rPr>
      </w:pPr>
    </w:p>
    <w:p w:rsidR="005D1534" w:rsidRDefault="005D1534" w:rsidP="00D25771">
      <w:pPr>
        <w:rPr>
          <w:rStyle w:val="normaltextrun"/>
          <w:rFonts w:ascii="Calibri" w:hAnsi="Calibri" w:cs="Calibri"/>
          <w:b/>
          <w:bCs/>
        </w:rPr>
      </w:pPr>
    </w:p>
    <w:p w:rsidR="00B26AD7" w:rsidRPr="00B26AD7" w:rsidRDefault="00B26AD7" w:rsidP="00B26AD7">
      <w:pPr>
        <w:rPr>
          <w:rStyle w:val="normaltextrun"/>
          <w:rFonts w:ascii="Calibri" w:hAnsi="Calibri" w:cs="Calibri"/>
          <w:b/>
          <w:bCs/>
        </w:rPr>
      </w:pPr>
      <w:r w:rsidRPr="00B26AD7">
        <w:rPr>
          <w:rStyle w:val="normaltextrun"/>
          <w:rFonts w:ascii="Calibri" w:hAnsi="Calibri" w:cs="Calibri"/>
          <w:b/>
          <w:bCs/>
        </w:rPr>
        <w:lastRenderedPageBreak/>
        <w:t>ITED 7201. Information Resources and Services. 3 Hours.</w:t>
      </w:r>
    </w:p>
    <w:p w:rsidR="00B26AD7" w:rsidRDefault="00B26AD7" w:rsidP="00B26AD7">
      <w:pPr>
        <w:rPr>
          <w:rStyle w:val="normaltextrun"/>
          <w:rFonts w:ascii="Calibri" w:hAnsi="Calibri" w:cs="Calibri"/>
          <w:bCs/>
        </w:rPr>
      </w:pPr>
      <w:r w:rsidRPr="00B26AD7">
        <w:rPr>
          <w:rStyle w:val="normaltextrun"/>
          <w:rFonts w:ascii="Calibri" w:hAnsi="Calibri" w:cs="Calibri"/>
          <w:bCs/>
        </w:rPr>
        <w:t>The development and application of knowledge and skills to provide information resources and services in P-12 school media centers. The course includes strategies for integrating information access skills and open educational resources into the curriculum, delivering traditional and electronic services, collaborating with the learning community, and developing professional learning networks.</w:t>
      </w:r>
    </w:p>
    <w:p w:rsidR="00B26AD7" w:rsidRPr="00B26AD7" w:rsidRDefault="00B26AD7" w:rsidP="00B26AD7">
      <w:pPr>
        <w:rPr>
          <w:rStyle w:val="normaltextrun"/>
          <w:rFonts w:ascii="Calibri" w:hAnsi="Calibri" w:cs="Calibri"/>
          <w:bCs/>
        </w:rPr>
      </w:pPr>
    </w:p>
    <w:p w:rsidR="00B26AD7" w:rsidRPr="00B26AD7" w:rsidRDefault="00B26AD7" w:rsidP="00B26AD7">
      <w:pPr>
        <w:rPr>
          <w:rStyle w:val="normaltextrun"/>
          <w:rFonts w:ascii="Calibri" w:hAnsi="Calibri" w:cs="Calibri"/>
          <w:b/>
          <w:bCs/>
        </w:rPr>
      </w:pPr>
      <w:r w:rsidRPr="00B26AD7">
        <w:rPr>
          <w:rStyle w:val="normaltextrun"/>
          <w:rFonts w:ascii="Calibri" w:hAnsi="Calibri" w:cs="Calibri"/>
          <w:b/>
          <w:bCs/>
        </w:rPr>
        <w:t>ITED 7202. Collection Development and Maintenance. 3 Hours.</w:t>
      </w:r>
    </w:p>
    <w:p w:rsidR="00B26AD7" w:rsidRPr="00B26AD7" w:rsidRDefault="00B26AD7" w:rsidP="00B26AD7">
      <w:pPr>
        <w:rPr>
          <w:rStyle w:val="normaltextrun"/>
          <w:rFonts w:ascii="Calibri" w:hAnsi="Calibri" w:cs="Calibri"/>
          <w:bCs/>
        </w:rPr>
      </w:pPr>
      <w:r w:rsidRPr="00B26AD7">
        <w:rPr>
          <w:rStyle w:val="normaltextrun"/>
          <w:rFonts w:ascii="Calibri" w:hAnsi="Calibri" w:cs="Calibri"/>
          <w:bCs/>
        </w:rPr>
        <w:t>An introduction to basic cataloging and classification tools and processes as applied to integrated electronic systems. This course includes bibliographic networks, resource sharing, collection development, and database maintenance and evaluation.</w:t>
      </w:r>
    </w:p>
    <w:p w:rsidR="00B26AD7" w:rsidRDefault="00B26AD7" w:rsidP="00B26AD7">
      <w:pPr>
        <w:rPr>
          <w:rStyle w:val="normaltextrun"/>
          <w:rFonts w:ascii="Calibri" w:hAnsi="Calibri" w:cs="Calibri"/>
          <w:bCs/>
        </w:rPr>
      </w:pPr>
    </w:p>
    <w:p w:rsidR="00B26AD7" w:rsidRPr="00B26AD7" w:rsidRDefault="00B26AD7" w:rsidP="00B26AD7">
      <w:pPr>
        <w:rPr>
          <w:rStyle w:val="normaltextrun"/>
          <w:rFonts w:ascii="Calibri" w:hAnsi="Calibri" w:cs="Calibri"/>
          <w:b/>
          <w:bCs/>
        </w:rPr>
      </w:pPr>
      <w:r w:rsidRPr="00B26AD7">
        <w:rPr>
          <w:rStyle w:val="normaltextrun"/>
          <w:rFonts w:ascii="Calibri" w:hAnsi="Calibri" w:cs="Calibri"/>
          <w:b/>
          <w:bCs/>
        </w:rPr>
        <w:t>ITED 7203. Administering School Media Centers. 3 Hours.</w:t>
      </w:r>
    </w:p>
    <w:p w:rsidR="00B26AD7" w:rsidRPr="00B26AD7" w:rsidRDefault="00B26AD7" w:rsidP="00B26AD7">
      <w:pPr>
        <w:rPr>
          <w:rStyle w:val="normaltextrun"/>
          <w:rFonts w:ascii="Calibri" w:hAnsi="Calibri" w:cs="Calibri"/>
          <w:bCs/>
        </w:rPr>
      </w:pPr>
      <w:r w:rsidRPr="00B26AD7">
        <w:rPr>
          <w:rStyle w:val="normaltextrun"/>
          <w:rFonts w:ascii="Calibri" w:hAnsi="Calibri" w:cs="Calibri"/>
          <w:bCs/>
        </w:rPr>
        <w:t>Study of school library media professionalism and the organization, functions, facilities, and management of P-12 school media centers. This course includes planning, coordinating, supervising, budgeting, and evaluating media center personnel, services and programs.</w:t>
      </w:r>
    </w:p>
    <w:p w:rsidR="00B26AD7" w:rsidRDefault="00B26AD7" w:rsidP="00B26AD7">
      <w:pPr>
        <w:rPr>
          <w:rStyle w:val="normaltextrun"/>
          <w:rFonts w:ascii="Calibri" w:hAnsi="Calibri" w:cs="Calibri"/>
          <w:bCs/>
        </w:rPr>
      </w:pPr>
    </w:p>
    <w:p w:rsidR="00B26AD7" w:rsidRPr="00B26AD7" w:rsidRDefault="00B26AD7" w:rsidP="00B26AD7">
      <w:pPr>
        <w:rPr>
          <w:rStyle w:val="normaltextrun"/>
          <w:rFonts w:ascii="Calibri" w:hAnsi="Calibri" w:cs="Calibri"/>
          <w:b/>
          <w:bCs/>
        </w:rPr>
      </w:pPr>
      <w:r w:rsidRPr="00B26AD7">
        <w:rPr>
          <w:rStyle w:val="normaltextrun"/>
          <w:rFonts w:ascii="Calibri" w:hAnsi="Calibri" w:cs="Calibri"/>
          <w:b/>
          <w:bCs/>
        </w:rPr>
        <w:t>ITED 7204. Literature for the P-12 School Librarian. 3 Hours.</w:t>
      </w:r>
    </w:p>
    <w:p w:rsidR="00B26AD7" w:rsidRDefault="00B26AD7" w:rsidP="00B26AD7">
      <w:pPr>
        <w:rPr>
          <w:rStyle w:val="normaltextrun"/>
          <w:rFonts w:ascii="Calibri" w:hAnsi="Calibri" w:cs="Calibri"/>
          <w:bCs/>
        </w:rPr>
      </w:pPr>
      <w:r w:rsidRPr="00B26AD7">
        <w:rPr>
          <w:rStyle w:val="normaltextrun"/>
          <w:rFonts w:ascii="Calibri" w:hAnsi="Calibri" w:cs="Calibri"/>
          <w:bCs/>
        </w:rPr>
        <w:t>A study of children's and young adult literature in the context of the school library media center. This course includes promotion and encouragement of reading to actively engage learners in the critical-thinking and inquiry process; addresses curriculum integration and collaboration; promotes diversity through reading engagement; and supports classroom reading instruction and awareness of current trends in literature for children and youth.</w:t>
      </w:r>
    </w:p>
    <w:p w:rsidR="00B26AD7" w:rsidRDefault="00B26AD7" w:rsidP="00D25771">
      <w:pPr>
        <w:ind w:left="0" w:firstLine="0"/>
        <w:rPr>
          <w:rStyle w:val="normaltextrun"/>
          <w:rFonts w:ascii="Calibri" w:hAnsi="Calibri" w:cs="Calibri"/>
          <w:bCs/>
        </w:rPr>
      </w:pPr>
    </w:p>
    <w:p w:rsidR="00B26AD7" w:rsidRPr="00B26AD7" w:rsidRDefault="00B26AD7" w:rsidP="00B26AD7">
      <w:pPr>
        <w:rPr>
          <w:rStyle w:val="normaltextrun"/>
          <w:rFonts w:ascii="Calibri" w:hAnsi="Calibri" w:cs="Calibri"/>
          <w:b/>
          <w:bCs/>
        </w:rPr>
      </w:pPr>
      <w:r w:rsidRPr="00B26AD7">
        <w:rPr>
          <w:rStyle w:val="normaltextrun"/>
          <w:rFonts w:ascii="Calibri" w:hAnsi="Calibri" w:cs="Calibri"/>
          <w:b/>
          <w:bCs/>
        </w:rPr>
        <w:t>CIED 7060. Curriculum, Instruction, and Technology Integration. 3 Hours.</w:t>
      </w:r>
    </w:p>
    <w:p w:rsidR="00B26AD7" w:rsidRDefault="00B26AD7" w:rsidP="00B26AD7">
      <w:pPr>
        <w:rPr>
          <w:rStyle w:val="normaltextrun"/>
          <w:rFonts w:ascii="Calibri" w:hAnsi="Calibri" w:cs="Calibri"/>
          <w:bCs/>
        </w:rPr>
      </w:pPr>
      <w:r w:rsidRPr="00B26AD7">
        <w:rPr>
          <w:rStyle w:val="normaltextrun"/>
          <w:rFonts w:ascii="Calibri" w:hAnsi="Calibri" w:cs="Calibri"/>
          <w:bCs/>
        </w:rPr>
        <w:t>An exploration of curriculum issues and trends, curriculum development, integration of technology into the curriculum, implementation of innovative instructional techniques, and legal/ethical issues across content areas and grade levels.</w:t>
      </w:r>
    </w:p>
    <w:p w:rsidR="00822C84" w:rsidRDefault="00822C84" w:rsidP="00B26AD7">
      <w:pPr>
        <w:rPr>
          <w:rStyle w:val="normaltextrun"/>
          <w:rFonts w:ascii="Calibri" w:hAnsi="Calibri" w:cs="Calibri"/>
          <w:bCs/>
        </w:rPr>
      </w:pPr>
    </w:p>
    <w:p w:rsidR="00822C84" w:rsidRPr="00B26AD7" w:rsidRDefault="00822C84" w:rsidP="00822C84">
      <w:pPr>
        <w:rPr>
          <w:rStyle w:val="normaltextrun"/>
          <w:rFonts w:ascii="Calibri" w:hAnsi="Calibri" w:cs="Calibri"/>
          <w:b/>
          <w:bCs/>
        </w:rPr>
      </w:pPr>
      <w:r w:rsidRPr="00B26AD7">
        <w:rPr>
          <w:rStyle w:val="normaltextrun"/>
          <w:rFonts w:ascii="Calibri" w:hAnsi="Calibri" w:cs="Calibri"/>
          <w:b/>
          <w:bCs/>
        </w:rPr>
        <w:t>ITED 7299. Internship in School Media Centers. 3 Hours.</w:t>
      </w:r>
    </w:p>
    <w:p w:rsidR="00822C84" w:rsidRDefault="00822C84" w:rsidP="00822C84">
      <w:pPr>
        <w:rPr>
          <w:rStyle w:val="normaltextrun"/>
          <w:rFonts w:ascii="Calibri" w:hAnsi="Calibri" w:cs="Calibri"/>
          <w:bCs/>
        </w:rPr>
      </w:pPr>
      <w:r w:rsidRPr="00B26AD7">
        <w:rPr>
          <w:rStyle w:val="normaltextrun"/>
          <w:rFonts w:ascii="Calibri" w:hAnsi="Calibri" w:cs="Calibri"/>
          <w:bCs/>
        </w:rPr>
        <w:t>Prerequisite: Approval of advisor. Supervised field experiences in administering P-12 school media centers.</w:t>
      </w:r>
    </w:p>
    <w:p w:rsidR="00822C84" w:rsidRDefault="00822C84" w:rsidP="00822C84">
      <w:pPr>
        <w:rPr>
          <w:rStyle w:val="normaltextrun"/>
          <w:rFonts w:ascii="Calibri" w:hAnsi="Calibri" w:cs="Calibri"/>
          <w:b/>
          <w:bCs/>
        </w:rPr>
      </w:pPr>
      <w:bookmarkStart w:id="0" w:name="_GoBack"/>
      <w:bookmarkEnd w:id="0"/>
    </w:p>
    <w:p w:rsidR="00E74650" w:rsidRPr="00E74650" w:rsidRDefault="00010A7A" w:rsidP="00E74650">
      <w:pPr>
        <w:pStyle w:val="Heading2"/>
        <w:rPr>
          <w:rStyle w:val="normaltextrun"/>
        </w:rPr>
      </w:pPr>
      <w:r>
        <w:rPr>
          <w:rStyle w:val="normaltextrun"/>
        </w:rPr>
        <w:t>Corequisite</w:t>
      </w:r>
      <w:r w:rsidR="00E74650" w:rsidRPr="00E74650">
        <w:rPr>
          <w:rStyle w:val="normaltextrun"/>
        </w:rPr>
        <w:t xml:space="preserve"> Course</w:t>
      </w:r>
      <w:r w:rsidR="005D1534">
        <w:rPr>
          <w:rStyle w:val="normaltextrun"/>
        </w:rPr>
        <w:t xml:space="preserve"> (Either one)</w:t>
      </w:r>
    </w:p>
    <w:p w:rsidR="00635AEB" w:rsidRDefault="00635AEB" w:rsidP="00B26AD7">
      <w:pPr>
        <w:rPr>
          <w:rFonts w:asciiTheme="minorHAnsi" w:hAnsiTheme="minorHAnsi" w:cstheme="minorHAnsi"/>
          <w:b/>
        </w:rPr>
      </w:pPr>
    </w:p>
    <w:p w:rsidR="00B26AD7" w:rsidRPr="00B26AD7" w:rsidRDefault="00B26AD7" w:rsidP="00B26AD7">
      <w:pPr>
        <w:rPr>
          <w:rFonts w:asciiTheme="minorHAnsi" w:hAnsiTheme="minorHAnsi" w:cstheme="minorHAnsi"/>
          <w:b/>
        </w:rPr>
      </w:pPr>
      <w:r w:rsidRPr="00B26AD7">
        <w:rPr>
          <w:rFonts w:asciiTheme="minorHAnsi" w:hAnsiTheme="minorHAnsi" w:cstheme="minorHAnsi"/>
          <w:b/>
        </w:rPr>
        <w:t>SPEC 3000. Serving Students with Diverse Needs. 3 Hours.</w:t>
      </w:r>
    </w:p>
    <w:p w:rsidR="008C2E4E" w:rsidRPr="00B26AD7" w:rsidRDefault="00B26AD7" w:rsidP="00B26AD7">
      <w:pPr>
        <w:rPr>
          <w:rFonts w:asciiTheme="minorHAnsi" w:hAnsiTheme="minorHAnsi" w:cstheme="minorHAnsi"/>
        </w:rPr>
      </w:pPr>
      <w:r w:rsidRPr="00B26AD7">
        <w:rPr>
          <w:rFonts w:asciiTheme="minorHAnsi" w:hAnsiTheme="minorHAnsi" w:cstheme="minorHAnsi"/>
        </w:rPr>
        <w:t>Introduction to major issues in the field of special education. Emphasis is placed on understanding the characteristics and etiologies of individuals with diverse needs and on identifying the qualities of home, school, and community environments that support these individuals in achieving their potential.</w:t>
      </w:r>
    </w:p>
    <w:p w:rsidR="00D76DB1" w:rsidRDefault="00D76DB1" w:rsidP="005D1534">
      <w:pPr>
        <w:ind w:left="0" w:firstLine="0"/>
        <w:rPr>
          <w:rFonts w:asciiTheme="minorHAnsi" w:hAnsiTheme="minorHAnsi" w:cstheme="minorHAnsi"/>
        </w:rPr>
      </w:pPr>
    </w:p>
    <w:p w:rsidR="00D76DB1" w:rsidRPr="00D76DB1" w:rsidRDefault="00D76DB1" w:rsidP="00D76DB1">
      <w:pPr>
        <w:rPr>
          <w:rFonts w:asciiTheme="minorHAnsi" w:hAnsiTheme="minorHAnsi" w:cstheme="minorHAnsi"/>
          <w:b/>
        </w:rPr>
      </w:pPr>
      <w:r w:rsidRPr="00D76DB1">
        <w:rPr>
          <w:rFonts w:asciiTheme="minorHAnsi" w:hAnsiTheme="minorHAnsi" w:cstheme="minorHAnsi"/>
          <w:b/>
        </w:rPr>
        <w:t>SPEC 7000. Serving Students with Diverse Needs. 3 Hours.</w:t>
      </w:r>
    </w:p>
    <w:p w:rsidR="008C2E4E" w:rsidRPr="00D76DB1" w:rsidRDefault="00D76DB1" w:rsidP="00D76DB1">
      <w:pPr>
        <w:rPr>
          <w:rFonts w:asciiTheme="minorHAnsi" w:hAnsiTheme="minorHAnsi" w:cstheme="minorHAnsi"/>
        </w:rPr>
      </w:pPr>
      <w:r w:rsidRPr="00D76DB1">
        <w:rPr>
          <w:rFonts w:asciiTheme="minorHAnsi" w:hAnsiTheme="minorHAnsi" w:cstheme="minorHAnsi"/>
        </w:rPr>
        <w:t>An introduction to major issues in the field on special education. Emphasis is placed on understanding the characteristics and etiologies of individuals with diverse needs and on identifying the qualities of home, school, and community environments that support these individuals in achieving their potential.</w:t>
      </w:r>
    </w:p>
    <w:p w:rsidR="0059185B" w:rsidRDefault="0059185B" w:rsidP="0059185B">
      <w:pPr>
        <w:spacing w:after="0" w:line="259" w:lineRule="auto"/>
        <w:ind w:left="0" w:firstLine="0"/>
      </w:pPr>
    </w:p>
    <w:p w:rsidR="0059185B" w:rsidRPr="00815E2C" w:rsidRDefault="00010A7A" w:rsidP="0059185B">
      <w:pPr>
        <w:spacing w:after="5" w:line="250" w:lineRule="auto"/>
        <w:ind w:left="-5"/>
        <w:jc w:val="right"/>
        <w:rPr>
          <w:u w:val="single"/>
        </w:rPr>
      </w:pPr>
      <w:r>
        <w:rPr>
          <w:rFonts w:ascii="Calibri" w:eastAsia="Calibri" w:hAnsi="Calibri" w:cs="Calibri"/>
          <w:b/>
          <w:u w:val="single"/>
        </w:rPr>
        <w:t>Required</w:t>
      </w:r>
      <w:r w:rsidR="00E74650">
        <w:rPr>
          <w:rFonts w:ascii="Calibri" w:eastAsia="Calibri" w:hAnsi="Calibri" w:cs="Calibri"/>
          <w:b/>
          <w:u w:val="single"/>
        </w:rPr>
        <w:t xml:space="preserve"> Course Credit Hours</w:t>
      </w:r>
      <w:r w:rsidR="0059185B">
        <w:rPr>
          <w:rFonts w:ascii="Calibri" w:eastAsia="Calibri" w:hAnsi="Calibri" w:cs="Calibri"/>
          <w:b/>
          <w:u w:val="single"/>
        </w:rPr>
        <w:t xml:space="preserve"> </w:t>
      </w:r>
      <w:r w:rsidR="0059185B" w:rsidRPr="00815E2C">
        <w:rPr>
          <w:rFonts w:ascii="Calibri" w:eastAsia="Calibri" w:hAnsi="Calibri" w:cs="Calibri"/>
          <w:b/>
          <w:u w:val="single"/>
        </w:rPr>
        <w:t>=</w:t>
      </w:r>
      <w:r w:rsidR="00B46AD7">
        <w:rPr>
          <w:rFonts w:ascii="Calibri" w:eastAsia="Calibri" w:hAnsi="Calibri" w:cs="Calibri"/>
          <w:b/>
          <w:u w:val="single"/>
        </w:rPr>
        <w:t xml:space="preserve"> </w:t>
      </w:r>
      <w:r>
        <w:rPr>
          <w:rFonts w:ascii="Calibri" w:eastAsia="Calibri" w:hAnsi="Calibri" w:cs="Calibri"/>
          <w:b/>
          <w:u w:val="single"/>
        </w:rPr>
        <w:t>30</w:t>
      </w:r>
    </w:p>
    <w:p w:rsidR="00B35630" w:rsidRDefault="0059185B" w:rsidP="00635AEB">
      <w:pPr>
        <w:ind w:left="-5"/>
        <w:jc w:val="right"/>
      </w:pPr>
      <w:r>
        <w:rPr>
          <w:rFonts w:ascii="Calibri" w:eastAsia="Calibri" w:hAnsi="Calibri" w:cs="Calibri"/>
          <w:b/>
        </w:rPr>
        <w:t xml:space="preserve">Total Program </w:t>
      </w:r>
      <w:r w:rsidR="00E74650">
        <w:rPr>
          <w:rFonts w:ascii="Calibri" w:eastAsia="Calibri" w:hAnsi="Calibri" w:cs="Calibri"/>
          <w:b/>
        </w:rPr>
        <w:t xml:space="preserve">Credit </w:t>
      </w:r>
      <w:r>
        <w:rPr>
          <w:rFonts w:ascii="Calibri" w:eastAsia="Calibri" w:hAnsi="Calibri" w:cs="Calibri"/>
          <w:b/>
        </w:rPr>
        <w:t>Hours = 30</w:t>
      </w:r>
    </w:p>
    <w:sectPr w:rsidR="00B35630">
      <w:footerReference w:type="default" r:id="rId8"/>
      <w:pgSz w:w="12240" w:h="15840"/>
      <w:pgMar w:top="761" w:right="719" w:bottom="3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2374" w:rsidRDefault="006B2374" w:rsidP="00D25771">
      <w:pPr>
        <w:spacing w:after="0" w:line="240" w:lineRule="auto"/>
      </w:pPr>
      <w:r>
        <w:separator/>
      </w:r>
    </w:p>
  </w:endnote>
  <w:endnote w:type="continuationSeparator" w:id="0">
    <w:p w:rsidR="006B2374" w:rsidRDefault="006B2374" w:rsidP="00D25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771" w:rsidRPr="00D25771" w:rsidRDefault="00D25771" w:rsidP="00D25771">
    <w:pPr>
      <w:pStyle w:val="Heading1"/>
      <w:jc w:val="center"/>
      <w:rPr>
        <w:sz w:val="10"/>
      </w:rPr>
    </w:pPr>
    <w:r w:rsidRPr="00251530">
      <w:rPr>
        <w:sz w:val="20"/>
      </w:rPr>
      <w:t>https://www.valdosta.edu/colleges/education/ltwd/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2374" w:rsidRDefault="006B2374" w:rsidP="00D25771">
      <w:pPr>
        <w:spacing w:after="0" w:line="240" w:lineRule="auto"/>
      </w:pPr>
      <w:r>
        <w:separator/>
      </w:r>
    </w:p>
  </w:footnote>
  <w:footnote w:type="continuationSeparator" w:id="0">
    <w:p w:rsidR="006B2374" w:rsidRDefault="006B2374" w:rsidP="00D25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004623"/>
    <w:multiLevelType w:val="hybridMultilevel"/>
    <w:tmpl w:val="C4FE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30"/>
    <w:rsid w:val="00010A7A"/>
    <w:rsid w:val="0007174B"/>
    <w:rsid w:val="0016722C"/>
    <w:rsid w:val="001D61B8"/>
    <w:rsid w:val="00254ECD"/>
    <w:rsid w:val="00294421"/>
    <w:rsid w:val="002A5B5C"/>
    <w:rsid w:val="002C4AAF"/>
    <w:rsid w:val="004B1702"/>
    <w:rsid w:val="004E5350"/>
    <w:rsid w:val="004F2C42"/>
    <w:rsid w:val="00501A99"/>
    <w:rsid w:val="005268CE"/>
    <w:rsid w:val="0059185B"/>
    <w:rsid w:val="005D1534"/>
    <w:rsid w:val="00612E3F"/>
    <w:rsid w:val="006158B6"/>
    <w:rsid w:val="006268FD"/>
    <w:rsid w:val="00635AEB"/>
    <w:rsid w:val="0069176D"/>
    <w:rsid w:val="006B2374"/>
    <w:rsid w:val="006F4E6B"/>
    <w:rsid w:val="0071052A"/>
    <w:rsid w:val="00773058"/>
    <w:rsid w:val="00815E2C"/>
    <w:rsid w:val="00822C84"/>
    <w:rsid w:val="00880F89"/>
    <w:rsid w:val="008C2E4E"/>
    <w:rsid w:val="008D2AC1"/>
    <w:rsid w:val="009E3681"/>
    <w:rsid w:val="00A45868"/>
    <w:rsid w:val="00A9152C"/>
    <w:rsid w:val="00AF1261"/>
    <w:rsid w:val="00B26AD7"/>
    <w:rsid w:val="00B3042F"/>
    <w:rsid w:val="00B35630"/>
    <w:rsid w:val="00B46AD7"/>
    <w:rsid w:val="00C74A61"/>
    <w:rsid w:val="00CE64B7"/>
    <w:rsid w:val="00D25771"/>
    <w:rsid w:val="00D76DB1"/>
    <w:rsid w:val="00E119B0"/>
    <w:rsid w:val="00E74650"/>
    <w:rsid w:val="00EC2ABB"/>
    <w:rsid w:val="00ED502F"/>
    <w:rsid w:val="00ED77E2"/>
    <w:rsid w:val="00EF6FF8"/>
    <w:rsid w:val="00F171CF"/>
    <w:rsid w:val="00F33F5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1EDB"/>
  <w15:docId w15:val="{9CABBA51-1146-4CC5-A747-42FAA6F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hanging="10"/>
    </w:pPr>
    <w:rPr>
      <w:rFonts w:ascii="Cambria" w:eastAsia="Cambria" w:hAnsi="Cambria" w:cs="Cambria"/>
      <w:color w:val="000000"/>
      <w:sz w:val="24"/>
    </w:rPr>
  </w:style>
  <w:style w:type="paragraph" w:styleId="Heading1">
    <w:name w:val="heading 1"/>
    <w:next w:val="Normal"/>
    <w:link w:val="Heading1Char"/>
    <w:uiPriority w:val="9"/>
    <w:qFormat/>
    <w:pPr>
      <w:keepNext/>
      <w:keepLines/>
      <w:spacing w:after="16"/>
      <w:outlineLvl w:val="0"/>
    </w:pPr>
    <w:rPr>
      <w:rFonts w:ascii="Calibri" w:eastAsia="Calibri" w:hAnsi="Calibri" w:cs="Calibri"/>
      <w:b/>
      <w:color w:val="FF0000"/>
      <w:sz w:val="32"/>
    </w:rPr>
  </w:style>
  <w:style w:type="paragraph" w:styleId="Heading2">
    <w:name w:val="heading 2"/>
    <w:basedOn w:val="Normal"/>
    <w:next w:val="Normal"/>
    <w:link w:val="Heading2Char"/>
    <w:uiPriority w:val="9"/>
    <w:unhideWhenUsed/>
    <w:qFormat/>
    <w:rsid w:val="00501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FF0000"/>
      <w:sz w:val="32"/>
    </w:rPr>
  </w:style>
  <w:style w:type="table" w:styleId="TableGrid">
    <w:name w:val="Table Grid"/>
    <w:basedOn w:val="TableNormal"/>
    <w:uiPriority w:val="59"/>
    <w:rsid w:val="00612E3F"/>
    <w:pPr>
      <w:spacing w:after="0" w:line="240" w:lineRule="auto"/>
    </w:pPr>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9185B"/>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59185B"/>
  </w:style>
  <w:style w:type="character" w:customStyle="1" w:styleId="eop">
    <w:name w:val="eop"/>
    <w:basedOn w:val="DefaultParagraphFont"/>
    <w:rsid w:val="0059185B"/>
  </w:style>
  <w:style w:type="character" w:customStyle="1" w:styleId="scxw165411075">
    <w:name w:val="scxw165411075"/>
    <w:basedOn w:val="DefaultParagraphFont"/>
    <w:rsid w:val="0059185B"/>
  </w:style>
  <w:style w:type="character" w:customStyle="1" w:styleId="scxw8887497">
    <w:name w:val="scxw8887497"/>
    <w:basedOn w:val="DefaultParagraphFont"/>
    <w:rsid w:val="00F33F51"/>
  </w:style>
  <w:style w:type="paragraph" w:styleId="ListParagraph">
    <w:name w:val="List Paragraph"/>
    <w:basedOn w:val="Normal"/>
    <w:uiPriority w:val="34"/>
    <w:qFormat/>
    <w:rsid w:val="00880F89"/>
    <w:pPr>
      <w:ind w:left="720"/>
      <w:contextualSpacing/>
    </w:pPr>
  </w:style>
  <w:style w:type="character" w:customStyle="1" w:styleId="Heading2Char">
    <w:name w:val="Heading 2 Char"/>
    <w:basedOn w:val="DefaultParagraphFont"/>
    <w:link w:val="Heading2"/>
    <w:uiPriority w:val="9"/>
    <w:rsid w:val="00501A99"/>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74A6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74A6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68CE"/>
    <w:rPr>
      <w:color w:val="0563C1" w:themeColor="hyperlink"/>
      <w:u w:val="single"/>
    </w:rPr>
  </w:style>
  <w:style w:type="character" w:styleId="UnresolvedMention">
    <w:name w:val="Unresolved Mention"/>
    <w:basedOn w:val="DefaultParagraphFont"/>
    <w:uiPriority w:val="99"/>
    <w:semiHidden/>
    <w:unhideWhenUsed/>
    <w:rsid w:val="005268CE"/>
    <w:rPr>
      <w:color w:val="605E5C"/>
      <w:shd w:val="clear" w:color="auto" w:fill="E1DFDD"/>
    </w:rPr>
  </w:style>
  <w:style w:type="paragraph" w:styleId="Header">
    <w:name w:val="header"/>
    <w:basedOn w:val="Normal"/>
    <w:link w:val="HeaderChar"/>
    <w:uiPriority w:val="99"/>
    <w:unhideWhenUsed/>
    <w:rsid w:val="00D25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71"/>
    <w:rPr>
      <w:rFonts w:ascii="Cambria" w:eastAsia="Cambria" w:hAnsi="Cambria" w:cs="Cambria"/>
      <w:color w:val="000000"/>
      <w:sz w:val="24"/>
    </w:rPr>
  </w:style>
  <w:style w:type="paragraph" w:styleId="Footer">
    <w:name w:val="footer"/>
    <w:basedOn w:val="Normal"/>
    <w:link w:val="FooterChar"/>
    <w:uiPriority w:val="99"/>
    <w:unhideWhenUsed/>
    <w:rsid w:val="00D25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71"/>
    <w:rPr>
      <w:rFonts w:ascii="Cambria" w:eastAsia="Cambria"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8994">
      <w:bodyDiv w:val="1"/>
      <w:marLeft w:val="0"/>
      <w:marRight w:val="0"/>
      <w:marTop w:val="0"/>
      <w:marBottom w:val="0"/>
      <w:divBdr>
        <w:top w:val="none" w:sz="0" w:space="0" w:color="auto"/>
        <w:left w:val="none" w:sz="0" w:space="0" w:color="auto"/>
        <w:bottom w:val="none" w:sz="0" w:space="0" w:color="auto"/>
        <w:right w:val="none" w:sz="0" w:space="0" w:color="auto"/>
      </w:divBdr>
    </w:div>
    <w:div w:id="300353322">
      <w:bodyDiv w:val="1"/>
      <w:marLeft w:val="0"/>
      <w:marRight w:val="0"/>
      <w:marTop w:val="0"/>
      <w:marBottom w:val="0"/>
      <w:divBdr>
        <w:top w:val="none" w:sz="0" w:space="0" w:color="auto"/>
        <w:left w:val="none" w:sz="0" w:space="0" w:color="auto"/>
        <w:bottom w:val="none" w:sz="0" w:space="0" w:color="auto"/>
        <w:right w:val="none" w:sz="0" w:space="0" w:color="auto"/>
      </w:divBdr>
    </w:div>
    <w:div w:id="319240024">
      <w:bodyDiv w:val="1"/>
      <w:marLeft w:val="0"/>
      <w:marRight w:val="0"/>
      <w:marTop w:val="0"/>
      <w:marBottom w:val="0"/>
      <w:divBdr>
        <w:top w:val="none" w:sz="0" w:space="0" w:color="auto"/>
        <w:left w:val="none" w:sz="0" w:space="0" w:color="auto"/>
        <w:bottom w:val="none" w:sz="0" w:space="0" w:color="auto"/>
        <w:right w:val="none" w:sz="0" w:space="0" w:color="auto"/>
      </w:divBdr>
    </w:div>
    <w:div w:id="473644280">
      <w:bodyDiv w:val="1"/>
      <w:marLeft w:val="0"/>
      <w:marRight w:val="0"/>
      <w:marTop w:val="0"/>
      <w:marBottom w:val="0"/>
      <w:divBdr>
        <w:top w:val="none" w:sz="0" w:space="0" w:color="auto"/>
        <w:left w:val="none" w:sz="0" w:space="0" w:color="auto"/>
        <w:bottom w:val="none" w:sz="0" w:space="0" w:color="auto"/>
        <w:right w:val="none" w:sz="0" w:space="0" w:color="auto"/>
      </w:divBdr>
    </w:div>
    <w:div w:id="548415298">
      <w:bodyDiv w:val="1"/>
      <w:marLeft w:val="0"/>
      <w:marRight w:val="0"/>
      <w:marTop w:val="0"/>
      <w:marBottom w:val="0"/>
      <w:divBdr>
        <w:top w:val="none" w:sz="0" w:space="0" w:color="auto"/>
        <w:left w:val="none" w:sz="0" w:space="0" w:color="auto"/>
        <w:bottom w:val="none" w:sz="0" w:space="0" w:color="auto"/>
        <w:right w:val="none" w:sz="0" w:space="0" w:color="auto"/>
      </w:divBdr>
    </w:div>
    <w:div w:id="627660604">
      <w:bodyDiv w:val="1"/>
      <w:marLeft w:val="0"/>
      <w:marRight w:val="0"/>
      <w:marTop w:val="0"/>
      <w:marBottom w:val="0"/>
      <w:divBdr>
        <w:top w:val="none" w:sz="0" w:space="0" w:color="auto"/>
        <w:left w:val="none" w:sz="0" w:space="0" w:color="auto"/>
        <w:bottom w:val="none" w:sz="0" w:space="0" w:color="auto"/>
        <w:right w:val="none" w:sz="0" w:space="0" w:color="auto"/>
      </w:divBdr>
    </w:div>
    <w:div w:id="652490355">
      <w:bodyDiv w:val="1"/>
      <w:marLeft w:val="0"/>
      <w:marRight w:val="0"/>
      <w:marTop w:val="0"/>
      <w:marBottom w:val="0"/>
      <w:divBdr>
        <w:top w:val="none" w:sz="0" w:space="0" w:color="auto"/>
        <w:left w:val="none" w:sz="0" w:space="0" w:color="auto"/>
        <w:bottom w:val="none" w:sz="0" w:space="0" w:color="auto"/>
        <w:right w:val="none" w:sz="0" w:space="0" w:color="auto"/>
      </w:divBdr>
    </w:div>
    <w:div w:id="1244071072">
      <w:bodyDiv w:val="1"/>
      <w:marLeft w:val="0"/>
      <w:marRight w:val="0"/>
      <w:marTop w:val="0"/>
      <w:marBottom w:val="0"/>
      <w:divBdr>
        <w:top w:val="none" w:sz="0" w:space="0" w:color="auto"/>
        <w:left w:val="none" w:sz="0" w:space="0" w:color="auto"/>
        <w:bottom w:val="none" w:sz="0" w:space="0" w:color="auto"/>
        <w:right w:val="none" w:sz="0" w:space="0" w:color="auto"/>
      </w:divBdr>
      <w:divsChild>
        <w:div w:id="730813848">
          <w:marLeft w:val="0"/>
          <w:marRight w:val="0"/>
          <w:marTop w:val="0"/>
          <w:marBottom w:val="0"/>
          <w:divBdr>
            <w:top w:val="none" w:sz="0" w:space="0" w:color="auto"/>
            <w:left w:val="none" w:sz="0" w:space="0" w:color="auto"/>
            <w:bottom w:val="none" w:sz="0" w:space="0" w:color="auto"/>
            <w:right w:val="none" w:sz="0" w:space="0" w:color="auto"/>
          </w:divBdr>
        </w:div>
      </w:divsChild>
    </w:div>
    <w:div w:id="145347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cp:lastModifiedBy>Jiyoon Jung</cp:lastModifiedBy>
  <cp:revision>10</cp:revision>
  <dcterms:created xsi:type="dcterms:W3CDTF">2022-05-31T20:00:00Z</dcterms:created>
  <dcterms:modified xsi:type="dcterms:W3CDTF">2022-05-31T22:33:00Z</dcterms:modified>
</cp:coreProperties>
</file>