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8A" w:rsidRPr="00921451" w:rsidRDefault="0053098A" w:rsidP="0053098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21451">
        <w:rPr>
          <w:rFonts w:ascii="Times New Roman" w:hAnsi="Times New Roman" w:cs="Times New Roman"/>
          <w:b/>
          <w:sz w:val="28"/>
          <w:szCs w:val="24"/>
        </w:rPr>
        <w:t>Merit Pay Process Description</w:t>
      </w:r>
    </w:p>
    <w:p w:rsidR="00921451" w:rsidRDefault="00921451">
      <w:pPr>
        <w:rPr>
          <w:rFonts w:ascii="Times New Roman" w:hAnsi="Times New Roman" w:cs="Times New Roman"/>
          <w:sz w:val="24"/>
          <w:szCs w:val="24"/>
        </w:rPr>
      </w:pPr>
    </w:p>
    <w:p w:rsidR="00B244E7" w:rsidRPr="00921451" w:rsidRDefault="002B367C">
      <w:p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The goal of a merit system is to provide recognition of, and reward for, performance over and above the expectations of your position.  Merit pay will be divided into two categories: 1) Performance on Annual Evaluation (60% of allotted merit pay) and 2) Professional Contributions that exceed the expectations of the position (40% of allotted merit pay).  </w:t>
      </w:r>
    </w:p>
    <w:p w:rsidR="002B367C" w:rsidRPr="00921451" w:rsidRDefault="002B367C" w:rsidP="002B367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21451">
        <w:rPr>
          <w:rFonts w:ascii="Times New Roman" w:hAnsi="Times New Roman" w:cs="Times New Roman"/>
          <w:b/>
          <w:sz w:val="26"/>
          <w:szCs w:val="26"/>
        </w:rPr>
        <w:t>Performance on Annual Evaluation</w:t>
      </w:r>
    </w:p>
    <w:p w:rsidR="002B367C" w:rsidRPr="00921451" w:rsidRDefault="002B367C" w:rsidP="002B36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Individuals can earn up to 60% of the allotted merit pay based on their Annual Evaluation.  </w:t>
      </w:r>
      <w:r w:rsidR="00921451">
        <w:rPr>
          <w:rFonts w:ascii="Times New Roman" w:hAnsi="Times New Roman" w:cs="Times New Roman"/>
          <w:sz w:val="24"/>
          <w:szCs w:val="24"/>
        </w:rPr>
        <w:t xml:space="preserve">Individuals in a tenure </w:t>
      </w:r>
      <w:r w:rsidRPr="00921451">
        <w:rPr>
          <w:rFonts w:ascii="Times New Roman" w:hAnsi="Times New Roman" w:cs="Times New Roman"/>
          <w:sz w:val="24"/>
          <w:szCs w:val="24"/>
        </w:rPr>
        <w:t xml:space="preserve">line can earn 20% </w:t>
      </w:r>
      <w:r w:rsidR="00044B4F" w:rsidRPr="00921451">
        <w:rPr>
          <w:rFonts w:ascii="Times New Roman" w:hAnsi="Times New Roman" w:cs="Times New Roman"/>
          <w:sz w:val="24"/>
          <w:szCs w:val="24"/>
        </w:rPr>
        <w:t xml:space="preserve">for each of the following areas </w:t>
      </w:r>
      <w:r w:rsidRPr="00921451">
        <w:rPr>
          <w:rFonts w:ascii="Times New Roman" w:hAnsi="Times New Roman" w:cs="Times New Roman"/>
          <w:sz w:val="24"/>
          <w:szCs w:val="24"/>
        </w:rPr>
        <w:t>rated</w:t>
      </w:r>
      <w:r w:rsidR="00044B4F" w:rsidRPr="00921451">
        <w:rPr>
          <w:rFonts w:ascii="Times New Roman" w:hAnsi="Times New Roman" w:cs="Times New Roman"/>
          <w:sz w:val="24"/>
          <w:szCs w:val="24"/>
        </w:rPr>
        <w:t xml:space="preserve"> as </w:t>
      </w:r>
      <w:r w:rsidRPr="00921451">
        <w:rPr>
          <w:rFonts w:ascii="Times New Roman" w:hAnsi="Times New Roman" w:cs="Times New Roman"/>
          <w:sz w:val="24"/>
          <w:szCs w:val="24"/>
        </w:rPr>
        <w:t xml:space="preserve">“satisfactory.” </w:t>
      </w:r>
    </w:p>
    <w:p w:rsidR="00044B4F" w:rsidRPr="00921451" w:rsidRDefault="00044B4F" w:rsidP="002B3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67C" w:rsidRPr="00921451" w:rsidRDefault="002B367C" w:rsidP="002B3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>Teaching and Instruction</w:t>
      </w:r>
      <w:r w:rsidR="00044B4F" w:rsidRPr="00921451">
        <w:rPr>
          <w:rFonts w:ascii="Times New Roman" w:hAnsi="Times New Roman" w:cs="Times New Roman"/>
          <w:sz w:val="24"/>
          <w:szCs w:val="24"/>
        </w:rPr>
        <w:t>,</w:t>
      </w:r>
    </w:p>
    <w:p w:rsidR="002B367C" w:rsidRPr="00921451" w:rsidRDefault="002B367C" w:rsidP="002B3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>Professional Growth and Productivity</w:t>
      </w:r>
      <w:r w:rsidR="00044B4F" w:rsidRPr="00921451">
        <w:rPr>
          <w:rFonts w:ascii="Times New Roman" w:hAnsi="Times New Roman" w:cs="Times New Roman"/>
          <w:sz w:val="24"/>
          <w:szCs w:val="24"/>
        </w:rPr>
        <w:t>, and</w:t>
      </w:r>
    </w:p>
    <w:p w:rsidR="002B367C" w:rsidRPr="00921451" w:rsidRDefault="002B367C" w:rsidP="002B3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College and Community Service.  </w:t>
      </w:r>
    </w:p>
    <w:p w:rsidR="002B367C" w:rsidRPr="00921451" w:rsidRDefault="002B367C" w:rsidP="002B36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44B4F" w:rsidRDefault="002B367C" w:rsidP="002B36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Individuals in a non-tenure line can earn 30% </w:t>
      </w:r>
      <w:r w:rsidR="00044B4F" w:rsidRPr="00921451">
        <w:rPr>
          <w:rFonts w:ascii="Times New Roman" w:hAnsi="Times New Roman" w:cs="Times New Roman"/>
          <w:sz w:val="24"/>
          <w:szCs w:val="24"/>
        </w:rPr>
        <w:t>for each of the following areas rated as “satisfactory.”</w:t>
      </w:r>
    </w:p>
    <w:p w:rsidR="00921451" w:rsidRPr="00921451" w:rsidRDefault="00921451" w:rsidP="002B3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B4F" w:rsidRPr="00921451" w:rsidRDefault="00044B4F" w:rsidP="00044B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>Teaching and Instruction, and</w:t>
      </w:r>
    </w:p>
    <w:p w:rsidR="007C5362" w:rsidRPr="00921451" w:rsidRDefault="00044B4F" w:rsidP="00044B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>College and Community Service</w:t>
      </w:r>
    </w:p>
    <w:p w:rsidR="00044B4F" w:rsidRPr="00921451" w:rsidRDefault="00044B4F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74A" w:rsidRPr="00921451" w:rsidRDefault="00A7374A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74A" w:rsidRPr="00921451" w:rsidRDefault="00A7374A" w:rsidP="00A7374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921451">
        <w:rPr>
          <w:rFonts w:ascii="Times New Roman" w:hAnsi="Times New Roman" w:cs="Times New Roman"/>
          <w:b/>
          <w:sz w:val="26"/>
          <w:szCs w:val="26"/>
        </w:rPr>
        <w:t>Professional Contributions Exceeding Expectations of the Position</w:t>
      </w:r>
    </w:p>
    <w:p w:rsidR="00A7374A" w:rsidRPr="00921451" w:rsidRDefault="00A7374A" w:rsidP="00A73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Individuals can earn up to 40% of the allotted merit pay based on their profession contribution that exceed the expectations of their position.  </w:t>
      </w:r>
    </w:p>
    <w:p w:rsidR="00A7374A" w:rsidRPr="00921451" w:rsidRDefault="00A7374A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74A" w:rsidRPr="00921451" w:rsidRDefault="00044B4F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After all individuals are credited with the appropriate percentage of merit pay based on Annual Evaluations, the remaining portion of the merit pool will be converted into dollars and utilize a “shares model.”  Using a menu of agreed up descriptors, individuals will self-evaluate their eligibility and provide documentation for each descriptor they want considered for credit.  The point value for each descriptor is included on the self-evaluation form.  The total point value </w:t>
      </w:r>
      <w:r w:rsidR="00A7374A" w:rsidRPr="00921451">
        <w:rPr>
          <w:rFonts w:ascii="Times New Roman" w:hAnsi="Times New Roman" w:cs="Times New Roman"/>
          <w:sz w:val="24"/>
          <w:szCs w:val="24"/>
        </w:rPr>
        <w:t xml:space="preserve">for the department </w:t>
      </w:r>
      <w:r w:rsidRPr="00921451">
        <w:rPr>
          <w:rFonts w:ascii="Times New Roman" w:hAnsi="Times New Roman" w:cs="Times New Roman"/>
          <w:sz w:val="24"/>
          <w:szCs w:val="24"/>
        </w:rPr>
        <w:t>will be</w:t>
      </w:r>
      <w:r w:rsidR="00A7374A" w:rsidRPr="00921451">
        <w:rPr>
          <w:rFonts w:ascii="Times New Roman" w:hAnsi="Times New Roman" w:cs="Times New Roman"/>
          <w:sz w:val="24"/>
          <w:szCs w:val="24"/>
        </w:rPr>
        <w:t xml:space="preserve"> calculated and</w:t>
      </w:r>
      <w:r w:rsidRPr="00921451">
        <w:rPr>
          <w:rFonts w:ascii="Times New Roman" w:hAnsi="Times New Roman" w:cs="Times New Roman"/>
          <w:sz w:val="24"/>
          <w:szCs w:val="24"/>
        </w:rPr>
        <w:t xml:space="preserve"> divided into the </w:t>
      </w:r>
      <w:r w:rsidR="00A7374A" w:rsidRPr="00921451">
        <w:rPr>
          <w:rFonts w:ascii="Times New Roman" w:hAnsi="Times New Roman" w:cs="Times New Roman"/>
          <w:sz w:val="24"/>
          <w:szCs w:val="24"/>
        </w:rPr>
        <w:t xml:space="preserve">Professional Contributions </w:t>
      </w:r>
      <w:r w:rsidRPr="00921451">
        <w:rPr>
          <w:rFonts w:ascii="Times New Roman" w:hAnsi="Times New Roman" w:cs="Times New Roman"/>
          <w:sz w:val="24"/>
          <w:szCs w:val="24"/>
        </w:rPr>
        <w:t>pool to determine the $ value of a point (share).  Faculty will be awarded the dollar value of all their shares.  This dollar value will be adde</w:t>
      </w:r>
      <w:r w:rsidR="00A7374A" w:rsidRPr="00921451">
        <w:rPr>
          <w:rFonts w:ascii="Times New Roman" w:hAnsi="Times New Roman" w:cs="Times New Roman"/>
          <w:sz w:val="24"/>
          <w:szCs w:val="24"/>
        </w:rPr>
        <w:t>d to the dollar value from the Annual E</w:t>
      </w:r>
      <w:r w:rsidRPr="00921451">
        <w:rPr>
          <w:rFonts w:ascii="Times New Roman" w:hAnsi="Times New Roman" w:cs="Times New Roman"/>
          <w:sz w:val="24"/>
          <w:szCs w:val="24"/>
        </w:rPr>
        <w:t xml:space="preserve">valuation (based on </w:t>
      </w:r>
      <w:r w:rsidR="00A7374A" w:rsidRPr="00921451">
        <w:rPr>
          <w:rFonts w:ascii="Times New Roman" w:hAnsi="Times New Roman" w:cs="Times New Roman"/>
          <w:sz w:val="24"/>
          <w:szCs w:val="24"/>
        </w:rPr>
        <w:t>the Annual Faculty Activity Report</w:t>
      </w:r>
      <w:r w:rsidRPr="00921451">
        <w:rPr>
          <w:rFonts w:ascii="Times New Roman" w:hAnsi="Times New Roman" w:cs="Times New Roman"/>
          <w:sz w:val="24"/>
          <w:szCs w:val="24"/>
        </w:rPr>
        <w:t xml:space="preserve">).  The dollars will then be converted back into a percentage.  </w:t>
      </w:r>
    </w:p>
    <w:p w:rsidR="00A7374A" w:rsidRPr="00921451" w:rsidRDefault="00A7374A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4B4F" w:rsidRPr="00921451" w:rsidRDefault="00044B4F" w:rsidP="00044B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451">
        <w:rPr>
          <w:rFonts w:ascii="Times New Roman" w:hAnsi="Times New Roman" w:cs="Times New Roman"/>
          <w:sz w:val="24"/>
          <w:szCs w:val="24"/>
        </w:rPr>
        <w:t xml:space="preserve">No faculty member can receive </w:t>
      </w:r>
      <w:r w:rsidR="00A7374A" w:rsidRPr="00921451">
        <w:rPr>
          <w:rFonts w:ascii="Times New Roman" w:hAnsi="Times New Roman" w:cs="Times New Roman"/>
          <w:sz w:val="24"/>
          <w:szCs w:val="24"/>
        </w:rPr>
        <w:t xml:space="preserve">a % </w:t>
      </w:r>
      <w:r w:rsidRPr="00921451">
        <w:rPr>
          <w:rFonts w:ascii="Times New Roman" w:hAnsi="Times New Roman" w:cs="Times New Roman"/>
          <w:sz w:val="24"/>
          <w:szCs w:val="24"/>
        </w:rPr>
        <w:t>in merit</w:t>
      </w:r>
      <w:r w:rsidR="00A7374A" w:rsidRPr="00921451">
        <w:rPr>
          <w:rFonts w:ascii="Times New Roman" w:hAnsi="Times New Roman" w:cs="Times New Roman"/>
          <w:sz w:val="24"/>
          <w:szCs w:val="24"/>
        </w:rPr>
        <w:t xml:space="preserve"> that exceeds the President’s</w:t>
      </w:r>
      <w:r w:rsidRPr="00921451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A7374A" w:rsidRPr="00921451">
        <w:rPr>
          <w:rFonts w:ascii="Times New Roman" w:hAnsi="Times New Roman" w:cs="Times New Roman"/>
          <w:sz w:val="24"/>
          <w:szCs w:val="24"/>
        </w:rPr>
        <w:t>.  If this happens, the faculty member will receive the maximum amount allowed and the remaining dollars will go back into the Professional Contributions pool and the process will go through a second reiteration for all individuals not exceeding the maximum % allowed.</w:t>
      </w:r>
    </w:p>
    <w:p w:rsidR="00044B4F" w:rsidRDefault="00044B4F" w:rsidP="00044B4F">
      <w:pPr>
        <w:pStyle w:val="NoSpacing"/>
      </w:pPr>
    </w:p>
    <w:p w:rsidR="001B329F" w:rsidRDefault="001B329F" w:rsidP="00044B4F">
      <w:pPr>
        <w:pStyle w:val="NoSpacing"/>
      </w:pPr>
    </w:p>
    <w:p w:rsidR="00E747AC" w:rsidRDefault="00E747AC" w:rsidP="00E747A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(This documented merit pay process was reviewed</w:t>
      </w:r>
      <w:r w:rsidR="001934BE">
        <w:rPr>
          <w:rFonts w:ascii="Times New Roman" w:hAnsi="Times New Roman" w:cs="Times New Roman"/>
          <w:szCs w:val="24"/>
        </w:rPr>
        <w:t>, revised,</w:t>
      </w:r>
      <w:r>
        <w:rPr>
          <w:rFonts w:ascii="Times New Roman" w:hAnsi="Times New Roman" w:cs="Times New Roman"/>
          <w:szCs w:val="24"/>
        </w:rPr>
        <w:t xml:space="preserve"> and approved by the MSRD faculty at the February 3, 2016 department meeting.</w:t>
      </w:r>
      <w:r w:rsidR="001934BE">
        <w:rPr>
          <w:rFonts w:ascii="Times New Roman" w:hAnsi="Times New Roman" w:cs="Times New Roman"/>
          <w:szCs w:val="24"/>
        </w:rPr>
        <w:t xml:space="preserve">  Only one revision was made from the previous version: added credit for serving as a “co-chair” on doctoral committees. </w:t>
      </w:r>
      <w:r>
        <w:rPr>
          <w:rFonts w:ascii="Times New Roman" w:hAnsi="Times New Roman" w:cs="Times New Roman"/>
          <w:szCs w:val="24"/>
        </w:rPr>
        <w:t>)</w:t>
      </w:r>
    </w:p>
    <w:p w:rsidR="00B244E7" w:rsidRDefault="00B244E7" w:rsidP="001B329F">
      <w:pPr>
        <w:jc w:val="center"/>
        <w:rPr>
          <w:rFonts w:ascii="Times New Roman" w:hAnsi="Times New Roman" w:cs="Times New Roman"/>
          <w:b/>
          <w:sz w:val="28"/>
        </w:rPr>
        <w:sectPr w:rsidR="00B244E7" w:rsidSect="00B244E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329F" w:rsidRPr="00C15AE3" w:rsidRDefault="001B329F" w:rsidP="001B329F">
      <w:pPr>
        <w:jc w:val="center"/>
        <w:rPr>
          <w:rFonts w:ascii="Times New Roman" w:hAnsi="Times New Roman" w:cs="Times New Roman"/>
          <w:b/>
          <w:sz w:val="28"/>
        </w:rPr>
      </w:pPr>
      <w:r w:rsidRPr="00C15AE3">
        <w:rPr>
          <w:rFonts w:ascii="Times New Roman" w:hAnsi="Times New Roman" w:cs="Times New Roman"/>
          <w:b/>
          <w:sz w:val="28"/>
        </w:rPr>
        <w:lastRenderedPageBreak/>
        <w:t>Merit Pay Self-Evaluation Form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8655"/>
        <w:gridCol w:w="425"/>
        <w:gridCol w:w="1300"/>
      </w:tblGrid>
      <w:tr w:rsidR="001B329F" w:rsidRPr="00F65291" w:rsidTr="009236E3">
        <w:trPr>
          <w:trHeight w:val="1503"/>
        </w:trPr>
        <w:tc>
          <w:tcPr>
            <w:tcW w:w="10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D4BB3" w:rsidRDefault="001B329F" w:rsidP="009236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5AE3">
              <w:rPr>
                <w:rFonts w:ascii="Times New Roman" w:hAnsi="Times New Roman" w:cs="Times New Roman"/>
                <w:sz w:val="26"/>
                <w:szCs w:val="26"/>
              </w:rPr>
              <w:t>Please self-evaluate your eligibility and provide documentation for each descriptor you want considered for credit.</w:t>
            </w:r>
            <w:r w:rsidR="00ED4BB3">
              <w:rPr>
                <w:rFonts w:ascii="Times New Roman" w:hAnsi="Times New Roman" w:cs="Times New Roman"/>
                <w:sz w:val="26"/>
                <w:szCs w:val="26"/>
              </w:rPr>
              <w:t xml:space="preserve">  This merit form considers Faculty Performance and Contributions during the </w:t>
            </w:r>
            <w:r w:rsidR="001934B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37B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BB3">
              <w:rPr>
                <w:rFonts w:ascii="Times New Roman" w:hAnsi="Times New Roman" w:cs="Times New Roman"/>
                <w:sz w:val="26"/>
                <w:szCs w:val="26"/>
              </w:rPr>
              <w:t>calendar year.</w:t>
            </w:r>
          </w:p>
          <w:p w:rsidR="00ED4BB3" w:rsidRDefault="00ED4BB3" w:rsidP="009236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29F" w:rsidRPr="00C15AE3" w:rsidRDefault="001B329F" w:rsidP="009236E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15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RESPONSES AND DOCUMENTATION ARE DUE BY</w:t>
            </w:r>
            <w:r w:rsidR="001934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__________________</w:t>
            </w:r>
            <w:r w:rsidRPr="00C15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C15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329F" w:rsidRPr="00D44240" w:rsidRDefault="001B329F" w:rsidP="009236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9F" w:rsidRPr="00D44240" w:rsidRDefault="001B329F" w:rsidP="009236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E3">
              <w:rPr>
                <w:rFonts w:ascii="Times New Roman" w:hAnsi="Times New Roman" w:cs="Times New Roman"/>
                <w:b/>
                <w:sz w:val="28"/>
                <w:szCs w:val="24"/>
              </w:rPr>
              <w:t>Performance on Annual Evaluation</w:t>
            </w:r>
          </w:p>
        </w:tc>
      </w:tr>
      <w:tr w:rsidR="001B329F" w:rsidRPr="00F65291" w:rsidTr="009236E3">
        <w:trPr>
          <w:trHeight w:val="300"/>
        </w:trPr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Tenure Line</w:t>
            </w:r>
            <w:r w:rsidRPr="00D44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(Value for each area is 20%)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earned</w:t>
            </w:r>
          </w:p>
        </w:tc>
      </w:tr>
      <w:tr w:rsidR="001B329F" w:rsidRPr="00F65291" w:rsidTr="009236E3">
        <w:trPr>
          <w:trHeight w:val="288"/>
        </w:trPr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9F" w:rsidRPr="00F65291" w:rsidRDefault="001B329F" w:rsidP="0019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Instruction and Teaching - Earned a “satisfactory”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9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evaluation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312"/>
        </w:trPr>
        <w:tc>
          <w:tcPr>
            <w:tcW w:w="90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9F" w:rsidRPr="00F65291" w:rsidRDefault="001B329F" w:rsidP="0070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Professional Growth and Productivity - Earn a “satisfactory”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9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174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288"/>
        </w:trPr>
        <w:tc>
          <w:tcPr>
            <w:tcW w:w="9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9F" w:rsidRPr="00F65291" w:rsidRDefault="001B329F" w:rsidP="0070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and Community Service - Earn a “satisfactory”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9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174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348"/>
        </w:trPr>
        <w:tc>
          <w:tcPr>
            <w:tcW w:w="9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Non-tenure </w:t>
            </w:r>
            <w:r w:rsidRPr="00C15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Line</w:t>
            </w: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(Value for each area is 30%)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earned</w:t>
            </w:r>
          </w:p>
        </w:tc>
      </w:tr>
      <w:tr w:rsidR="001B329F" w:rsidRPr="00F65291" w:rsidTr="009236E3">
        <w:trPr>
          <w:trHeight w:val="28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9F" w:rsidRPr="00F65291" w:rsidRDefault="001B329F" w:rsidP="0070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Instruction and Teaching - Earned a “satisfactory”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9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174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288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9F" w:rsidRPr="00F65291" w:rsidRDefault="001B329F" w:rsidP="0070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and Community Service - Earn a “satisfactory”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9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nnual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29F" w:rsidRPr="00D44240" w:rsidTr="009236E3">
        <w:trPr>
          <w:trHeight w:val="588"/>
        </w:trPr>
        <w:tc>
          <w:tcPr>
            <w:tcW w:w="1038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B329F" w:rsidRPr="00D44240" w:rsidRDefault="001B329F" w:rsidP="009236E3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329F" w:rsidRPr="00F65291" w:rsidTr="009236E3">
        <w:trPr>
          <w:trHeight w:val="588"/>
        </w:trPr>
        <w:tc>
          <w:tcPr>
            <w:tcW w:w="103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B329F" w:rsidRPr="00F65291" w:rsidRDefault="001B329F" w:rsidP="009236E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 </w:t>
            </w:r>
            <w:r w:rsidRPr="00C15AE3">
              <w:rPr>
                <w:rFonts w:ascii="Times New Roman" w:hAnsi="Times New Roman" w:cs="Times New Roman"/>
                <w:b/>
                <w:sz w:val="28"/>
                <w:szCs w:val="24"/>
              </w:rPr>
              <w:t>Professional Contributions Exceeding Expectations of the Position</w:t>
            </w:r>
          </w:p>
        </w:tc>
      </w:tr>
      <w:tr w:rsidR="001B329F" w:rsidRPr="00F65291" w:rsidTr="009236E3">
        <w:trPr>
          <w:trHeight w:val="588"/>
        </w:trPr>
        <w:tc>
          <w:tcPr>
            <w:tcW w:w="8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Instruction and Teaching 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Merit Points 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D44240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development of new course (full syllabus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assignments and 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assessments)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 receive credit for each new course – point value may exceed 1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per course</w:t>
            </w:r>
          </w:p>
        </w:tc>
      </w:tr>
      <w:tr w:rsidR="001B329F" w:rsidRPr="00F65291" w:rsidTr="009236E3">
        <w:trPr>
          <w:trHeight w:val="8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D44240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Substant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 revision of existing course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(more than changing a 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few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assignments</w:t>
            </w:r>
            <w:r w:rsidR="0026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/assessments or 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adding new materials as these changes are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expected curriculum improvement.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An example of substantial revision is changing a face-to-face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 into an online course or redesigning a course to meet new state or external mandates/standards.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 receive credit for each substantially revised course – point value may exceed 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per course</w:t>
            </w:r>
          </w:p>
        </w:tc>
      </w:tr>
      <w:tr w:rsidR="001B329F" w:rsidRPr="00D44240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9F" w:rsidRPr="00D44240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hAnsi="Times New Roman" w:cs="Times New Roman"/>
                <w:sz w:val="24"/>
                <w:szCs w:val="24"/>
              </w:rPr>
              <w:t>Modifications in course content, innovative or experimental teaching approaches in at least two courses.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29F" w:rsidRPr="00D44240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Extensive collaboration with P-12 schools to enhance candidate learning (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directly w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ork in schools with teachers having an impact on 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MSRD 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candidates' professional growth)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Engagement in professional development workshops related to teaching (cannot count same conference in scholarship)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 of teaching course overloads (exceeds 3/4 for tenure or 4/5 for non-tenure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(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size  &gt; 5)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teaching load to fill in for a faculty member out on leave.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Recipient of internal/external funding to improve instruction or provide professional development to inservice teachers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Recipient of Faculty Excellence in Teaching award (department, college, and/or university levels)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</w:tr>
    </w:tbl>
    <w:p w:rsidR="001B329F" w:rsidRDefault="001B329F" w:rsidP="001B329F">
      <w:r>
        <w:br w:type="page"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8655"/>
        <w:gridCol w:w="1725"/>
      </w:tblGrid>
      <w:tr w:rsidR="001B329F" w:rsidRPr="00F65291" w:rsidTr="009236E3">
        <w:trPr>
          <w:trHeight w:val="288"/>
        </w:trPr>
        <w:tc>
          <w:tcPr>
            <w:tcW w:w="8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Professional Growth and Productivity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publications is greater than one per year (peer-reviewed journals) with books counting as two publications; any publication for non-tenure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lines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(2pts)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each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add’l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publication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(not 1</w:t>
            </w:r>
            <w:r w:rsidRPr="000E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point value may exceed 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add’l publication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presentations at professional conferences exceeds one per year; any presentation for non-tenure (2pts)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add’l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resentation (not 1</w:t>
            </w:r>
            <w:r w:rsidRPr="000E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point value may exceed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add’l presentation</w:t>
            </w:r>
          </w:p>
        </w:tc>
      </w:tr>
      <w:tr w:rsidR="001B329F" w:rsidRPr="00D44240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9F" w:rsidRPr="00D44240" w:rsidRDefault="001B329F" w:rsidP="009236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0">
              <w:rPr>
                <w:rFonts w:ascii="Times New Roman" w:hAnsi="Times New Roman" w:cs="Times New Roman"/>
                <w:sz w:val="24"/>
                <w:szCs w:val="24"/>
              </w:rPr>
              <w:t xml:space="preserve">Participated in 5 or more professional training sessions/workshops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29F" w:rsidRPr="00D44240" w:rsidRDefault="001B329F" w:rsidP="009236E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 of an editorial board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manuscript reviewer/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 session reviewer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each professional organization/journal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(not per article or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conference</w:t>
            </w:r>
            <w:r w:rsidR="00267D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 must have actually completed a review during the year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– point value may exceed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</w:t>
            </w: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0.5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org./journal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Recipient of an award from a professional organization for contributions to the profession.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each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award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point value may exceed 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2813F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award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Recipient of a Faculty Excellence in Professional Activity award (department, college, and/or university levels)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Recipient of a VSU Faculty Research Seed Grant or external funding for research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College and Community Service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Service as an advisor with student organization </w:t>
            </w:r>
            <w:r w:rsidR="0026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(must have been active during the year)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each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student organization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 point value may exceed 1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org.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 of going above and beyond in service to the department: program coordinator or significant role in program development/improvement, considerable role in</w:t>
            </w:r>
            <w:r w:rsidR="0026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completing IER/IEP, PRS, etc.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552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Involvement in promoting the department beyond just VSU visitation days (actively recruits for department/programs)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82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 of going above and beyond in service to the college/university: special ad hoc committees for moving new initiatives forward, significant role in preparing for accreditation, etc.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on standing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committees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/writing reports credited above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Chair of college committee, university committee, or professional organization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Extensive service to the community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  <w:r w:rsidR="000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76F" w:rsidRPr="001934BE">
              <w:rPr>
                <w:rFonts w:ascii="Times New Roman" w:eastAsia="Times New Roman" w:hAnsi="Times New Roman" w:cs="Times New Roman"/>
                <w:sz w:val="24"/>
                <w:szCs w:val="24"/>
              </w:rPr>
              <w:t>or Co-chair</w:t>
            </w:r>
            <w:r w:rsidRPr="0019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a doctoral committee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**Can receive credit for each Chair– point value may exceed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chair 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Service on 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doctoral committees or master thesis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every three committees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point value may exceed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8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every 3 students</w:t>
            </w:r>
          </w:p>
        </w:tc>
      </w:tr>
      <w:tr w:rsidR="001B329F" w:rsidRPr="00F65291" w:rsidTr="009236E3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on a doctoral committee/master thesis in which the candidate successfully completed degree</w:t>
            </w:r>
            <w:r w:rsidR="0026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during the year</w:t>
            </w:r>
          </w:p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each graduate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point value may exceed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B329F" w:rsidRPr="00267D63" w:rsidRDefault="001B329F" w:rsidP="00267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1B329F" w:rsidRPr="00F65291" w:rsidTr="0002176F">
        <w:trPr>
          <w:trHeight w:val="288"/>
        </w:trPr>
        <w:tc>
          <w:tcPr>
            <w:tcW w:w="8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Recipient of a Faculty Excellence in Advising award (department, college, and/or university levels)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</w:tr>
      <w:tr w:rsidR="001B329F" w:rsidRPr="00F65291" w:rsidTr="0002176F">
        <w:trPr>
          <w:trHeight w:val="300"/>
        </w:trPr>
        <w:tc>
          <w:tcPr>
            <w:tcW w:w="8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9F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Appointment to state or federal committees or BOE-NCATE</w:t>
            </w:r>
          </w:p>
          <w:p w:rsidR="001B329F" w:rsidRPr="00F65291" w:rsidRDefault="001B329F" w:rsidP="00923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**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Can receive credit for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each state/federal committee </w:t>
            </w:r>
            <w:r w:rsidRPr="00D4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– point value may exceed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329F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813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 w:rsidRPr="00F652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.5</w:t>
            </w:r>
            <w:r w:rsidRPr="002813FF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1B329F" w:rsidRPr="00F65291" w:rsidRDefault="001B329F" w:rsidP="0092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ommittee</w:t>
            </w:r>
          </w:p>
        </w:tc>
      </w:tr>
    </w:tbl>
    <w:p w:rsidR="001B329F" w:rsidRDefault="001B329F" w:rsidP="00044B4F">
      <w:pPr>
        <w:pStyle w:val="NoSpacing"/>
      </w:pPr>
    </w:p>
    <w:sectPr w:rsidR="001B329F" w:rsidSect="00267D6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60" w:rsidRDefault="00041060" w:rsidP="008B153E">
      <w:pPr>
        <w:spacing w:after="0" w:line="240" w:lineRule="auto"/>
      </w:pPr>
      <w:r>
        <w:separator/>
      </w:r>
    </w:p>
  </w:endnote>
  <w:endnote w:type="continuationSeparator" w:id="0">
    <w:p w:rsidR="00041060" w:rsidRDefault="00041060" w:rsidP="008B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3E" w:rsidRPr="008B153E" w:rsidRDefault="008B153E" w:rsidP="008B153E">
    <w:pPr>
      <w:pStyle w:val="Footer"/>
    </w:pPr>
    <w:r>
      <w:t>MSRD Merit Pay</w:t>
    </w:r>
    <w:r>
      <w:ptab w:relativeTo="margin" w:alignment="center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445B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Approved 2/3/2016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60" w:rsidRDefault="00041060" w:rsidP="008B153E">
      <w:pPr>
        <w:spacing w:after="0" w:line="240" w:lineRule="auto"/>
      </w:pPr>
      <w:r>
        <w:separator/>
      </w:r>
    </w:p>
  </w:footnote>
  <w:footnote w:type="continuationSeparator" w:id="0">
    <w:p w:rsidR="00041060" w:rsidRDefault="00041060" w:rsidP="008B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3A8"/>
    <w:multiLevelType w:val="hybridMultilevel"/>
    <w:tmpl w:val="EF3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60E1"/>
    <w:multiLevelType w:val="hybridMultilevel"/>
    <w:tmpl w:val="CAA0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C"/>
    <w:rsid w:val="00010EF2"/>
    <w:rsid w:val="0002176F"/>
    <w:rsid w:val="00041060"/>
    <w:rsid w:val="00044B4F"/>
    <w:rsid w:val="001934BE"/>
    <w:rsid w:val="001B329F"/>
    <w:rsid w:val="0021396A"/>
    <w:rsid w:val="00267D63"/>
    <w:rsid w:val="00285C1B"/>
    <w:rsid w:val="002B367C"/>
    <w:rsid w:val="003445B6"/>
    <w:rsid w:val="00477245"/>
    <w:rsid w:val="0053098A"/>
    <w:rsid w:val="005D3C40"/>
    <w:rsid w:val="00617F59"/>
    <w:rsid w:val="006400C0"/>
    <w:rsid w:val="00706722"/>
    <w:rsid w:val="00737BAD"/>
    <w:rsid w:val="00831F29"/>
    <w:rsid w:val="008B153E"/>
    <w:rsid w:val="00921451"/>
    <w:rsid w:val="00940C26"/>
    <w:rsid w:val="00950313"/>
    <w:rsid w:val="009B4150"/>
    <w:rsid w:val="009D4A4A"/>
    <w:rsid w:val="00A7374A"/>
    <w:rsid w:val="00AB1797"/>
    <w:rsid w:val="00B244E7"/>
    <w:rsid w:val="00CA3D6A"/>
    <w:rsid w:val="00E747AC"/>
    <w:rsid w:val="00EB2EDA"/>
    <w:rsid w:val="00ED4BB3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6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E"/>
  </w:style>
  <w:style w:type="paragraph" w:styleId="Footer">
    <w:name w:val="footer"/>
    <w:basedOn w:val="Normal"/>
    <w:link w:val="FooterChar"/>
    <w:uiPriority w:val="99"/>
    <w:unhideWhenUsed/>
    <w:rsid w:val="008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E"/>
  </w:style>
  <w:style w:type="paragraph" w:styleId="BalloonText">
    <w:name w:val="Balloon Text"/>
    <w:basedOn w:val="Normal"/>
    <w:link w:val="BalloonTextChar"/>
    <w:uiPriority w:val="99"/>
    <w:semiHidden/>
    <w:unhideWhenUsed/>
    <w:rsid w:val="008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6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E"/>
  </w:style>
  <w:style w:type="paragraph" w:styleId="Footer">
    <w:name w:val="footer"/>
    <w:basedOn w:val="Normal"/>
    <w:link w:val="FooterChar"/>
    <w:uiPriority w:val="99"/>
    <w:unhideWhenUsed/>
    <w:rsid w:val="008B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E"/>
  </w:style>
  <w:style w:type="paragraph" w:styleId="BalloonText">
    <w:name w:val="Balloon Text"/>
    <w:basedOn w:val="Normal"/>
    <w:link w:val="BalloonTextChar"/>
    <w:uiPriority w:val="99"/>
    <w:semiHidden/>
    <w:unhideWhenUsed/>
    <w:rsid w:val="008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Radcliffe</dc:creator>
  <cp:lastModifiedBy>Abbigail B Edwards</cp:lastModifiedBy>
  <cp:revision>2</cp:revision>
  <dcterms:created xsi:type="dcterms:W3CDTF">2016-04-05T15:46:00Z</dcterms:created>
  <dcterms:modified xsi:type="dcterms:W3CDTF">2016-04-05T15:46:00Z</dcterms:modified>
</cp:coreProperties>
</file>