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2563"/>
      </w:tblGrid>
      <w:tr w:rsidR="009B6DD9" w:rsidRPr="00F06B3C" w:rsidTr="00572812">
        <w:trPr>
          <w:trHeight w:val="288"/>
        </w:trPr>
        <w:tc>
          <w:tcPr>
            <w:tcW w:w="918" w:type="dxa"/>
          </w:tcPr>
          <w:p w:rsidR="009B6DD9" w:rsidRPr="00F06B3C" w:rsidRDefault="009B6DD9" w:rsidP="009B6DD9">
            <w:pPr>
              <w:jc w:val="right"/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Date: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-393658223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9B6DD9" w:rsidRPr="00F06B3C" w:rsidRDefault="00C52250" w:rsidP="009B6DD9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6DD9" w:rsidRPr="00F06B3C" w:rsidTr="00572812">
        <w:trPr>
          <w:trHeight w:val="288"/>
        </w:trPr>
        <w:tc>
          <w:tcPr>
            <w:tcW w:w="918" w:type="dxa"/>
          </w:tcPr>
          <w:p w:rsidR="009B6DD9" w:rsidRPr="00F06B3C" w:rsidRDefault="009B6DD9" w:rsidP="009B6DD9">
            <w:pPr>
              <w:jc w:val="right"/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r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Contact: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269519108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9B6DD9" w:rsidRPr="00F06B3C" w:rsidRDefault="00C52250" w:rsidP="009B6DD9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6DD9" w:rsidRPr="00F06B3C" w:rsidTr="00572812">
        <w:trPr>
          <w:trHeight w:val="288"/>
        </w:trPr>
        <w:tc>
          <w:tcPr>
            <w:tcW w:w="918" w:type="dxa"/>
          </w:tcPr>
          <w:p w:rsidR="009B6DD9" w:rsidRPr="00F06B3C" w:rsidRDefault="009B6DD9" w:rsidP="009B6DD9">
            <w:pPr>
              <w:jc w:val="right"/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r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EDP#: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1698808117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9B6DD9" w:rsidRPr="00F06B3C" w:rsidRDefault="00C52250" w:rsidP="009B6DD9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C52250" w:rsidP="00C52250">
            <w:pPr>
              <w:jc w:val="right"/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r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Review:</w:t>
            </w:r>
          </w:p>
        </w:tc>
        <w:tc>
          <w:tcPr>
            <w:tcW w:w="2563" w:type="dxa"/>
          </w:tcPr>
          <w:p w:rsidR="00C52250" w:rsidRDefault="00C52250" w:rsidP="00C52250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8"/>
              </w:rPr>
            </w:pPr>
          </w:p>
        </w:tc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0C5B01" w:rsidP="00C52250">
            <w:pPr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0"/>
                  <w:szCs w:val="28"/>
                </w:rPr>
                <w:id w:val="-33736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2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2250" w:rsidRPr="00F06B3C">
              <w:rPr>
                <w:b/>
                <w:sz w:val="20"/>
              </w:rPr>
              <w:t xml:space="preserve">  </w:t>
            </w:r>
            <w:r w:rsidR="00C52250"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CIO</w:t>
            </w:r>
            <w:r w:rsidR="00C52250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 xml:space="preserve">    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-1813324029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C52250" w:rsidRPr="00F06B3C" w:rsidRDefault="00C52250" w:rsidP="00C52250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0C5B01" w:rsidP="00C52250">
            <w:pPr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0"/>
                  <w:szCs w:val="28"/>
                </w:rPr>
                <w:id w:val="92682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2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2250" w:rsidRPr="00F06B3C">
              <w:rPr>
                <w:b/>
                <w:sz w:val="20"/>
              </w:rPr>
              <w:t xml:space="preserve">  </w:t>
            </w:r>
            <w:r w:rsidR="00C52250"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CISO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-967888556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C52250" w:rsidRPr="00F06B3C" w:rsidRDefault="00C52250" w:rsidP="00C52250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0C5B01" w:rsidP="00C52250">
            <w:pPr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0"/>
                  <w:szCs w:val="28"/>
                </w:rPr>
                <w:id w:val="-1309527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2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2250" w:rsidRPr="00F06B3C">
              <w:rPr>
                <w:b/>
                <w:sz w:val="20"/>
              </w:rPr>
              <w:t xml:space="preserve">  </w:t>
            </w:r>
            <w:r w:rsidR="00C52250"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CTO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-395745235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C52250" w:rsidRPr="00F06B3C" w:rsidRDefault="00C52250" w:rsidP="00C52250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0C5B01" w:rsidP="00C52250">
            <w:pPr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0"/>
                  <w:szCs w:val="28"/>
                </w:rPr>
                <w:id w:val="-668638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2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2250" w:rsidRPr="00F06B3C">
              <w:rPr>
                <w:b/>
                <w:sz w:val="20"/>
              </w:rPr>
              <w:t xml:space="preserve">  </w:t>
            </w:r>
            <w:r w:rsidR="00C52250"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TSS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1448193624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C52250" w:rsidRPr="00F06B3C" w:rsidRDefault="00C52250" w:rsidP="00C52250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2250" w:rsidRPr="00F06B3C" w:rsidTr="00572812">
        <w:trPr>
          <w:trHeight w:val="288"/>
        </w:trPr>
        <w:tc>
          <w:tcPr>
            <w:tcW w:w="918" w:type="dxa"/>
          </w:tcPr>
          <w:p w:rsidR="00C52250" w:rsidRPr="00F06B3C" w:rsidRDefault="000C5B01" w:rsidP="00C52250">
            <w:pPr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20"/>
                  <w:szCs w:val="28"/>
                </w:rPr>
                <w:id w:val="9091285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5225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52250" w:rsidRPr="00F06B3C">
              <w:rPr>
                <w:b/>
                <w:sz w:val="20"/>
              </w:rPr>
              <w:t xml:space="preserve">  </w:t>
            </w:r>
            <w:r w:rsidR="00C52250" w:rsidRPr="00F06B3C">
              <w:rPr>
                <w:rStyle w:val="Heading1Char"/>
                <w:rFonts w:asciiTheme="minorHAnsi" w:hAnsiTheme="minorHAnsi" w:cstheme="minorHAnsi"/>
                <w:sz w:val="18"/>
                <w:szCs w:val="16"/>
              </w:rPr>
              <w:t>EAA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sz w:val="18"/>
              <w:szCs w:val="16"/>
            </w:rPr>
            <w:id w:val="-1695450043"/>
            <w:placeholder>
              <w:docPart w:val="60E13759787A4DD9981717B95ED26371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2563" w:type="dxa"/>
              </w:tcPr>
              <w:p w:rsidR="00C52250" w:rsidRPr="00F06B3C" w:rsidRDefault="00C52250" w:rsidP="00C52250">
                <w:pPr>
                  <w:rPr>
                    <w:rStyle w:val="Heading1Char"/>
                    <w:rFonts w:asciiTheme="minorHAnsi" w:hAnsiTheme="minorHAnsi" w:cstheme="minorHAnsi"/>
                    <w:sz w:val="18"/>
                    <w:szCs w:val="16"/>
                  </w:rPr>
                </w:pPr>
                <w:r w:rsidRPr="00E24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004B" w:rsidRDefault="000E004B" w:rsidP="000E004B">
      <w:pPr>
        <w:rPr>
          <w:rStyle w:val="Heading1Char"/>
          <w:sz w:val="24"/>
        </w:rPr>
      </w:pPr>
      <w:r w:rsidRPr="00F06B3C">
        <w:rPr>
          <w:rStyle w:val="Heading1Char"/>
          <w:sz w:val="24"/>
        </w:rPr>
        <w:t>V</w:t>
      </w:r>
      <w:r w:rsidR="005D1AFB" w:rsidRPr="00F06B3C">
        <w:rPr>
          <w:rStyle w:val="Heading1Char"/>
          <w:sz w:val="24"/>
        </w:rPr>
        <w:t xml:space="preserve">aldosta </w:t>
      </w:r>
      <w:r w:rsidRPr="00F06B3C">
        <w:rPr>
          <w:rStyle w:val="Heading1Char"/>
          <w:sz w:val="24"/>
        </w:rPr>
        <w:t>S</w:t>
      </w:r>
      <w:r w:rsidR="005D1AFB" w:rsidRPr="00F06B3C">
        <w:rPr>
          <w:rStyle w:val="Heading1Char"/>
          <w:sz w:val="24"/>
        </w:rPr>
        <w:t xml:space="preserve">tate </w:t>
      </w:r>
      <w:r w:rsidRPr="00F06B3C">
        <w:rPr>
          <w:rStyle w:val="Heading1Char"/>
          <w:sz w:val="24"/>
        </w:rPr>
        <w:t>U</w:t>
      </w:r>
      <w:r w:rsidR="005D1AFB" w:rsidRPr="00F06B3C">
        <w:rPr>
          <w:rStyle w:val="Heading1Char"/>
          <w:sz w:val="24"/>
        </w:rPr>
        <w:t>niversity</w:t>
      </w:r>
      <w:r w:rsidRPr="00F06B3C">
        <w:rPr>
          <w:rStyle w:val="Heading1Char"/>
          <w:sz w:val="24"/>
        </w:rPr>
        <w:t xml:space="preserve"> Information Technology </w:t>
      </w:r>
      <w:r w:rsidR="00670EF0" w:rsidRPr="00F06B3C">
        <w:rPr>
          <w:rStyle w:val="Heading1Char"/>
          <w:sz w:val="24"/>
        </w:rPr>
        <w:t>(IT)</w:t>
      </w:r>
      <w:r w:rsidR="00FC0659" w:rsidRPr="00F06B3C">
        <w:rPr>
          <w:rStyle w:val="Heading1Char"/>
          <w:sz w:val="24"/>
        </w:rPr>
        <w:br/>
      </w:r>
      <w:r w:rsidR="00670EF0" w:rsidRPr="00F06B3C">
        <w:rPr>
          <w:rStyle w:val="Heading1Char"/>
          <w:sz w:val="24"/>
        </w:rPr>
        <w:t>Electronic Data Processing (EDP) Procurement Checklist</w:t>
      </w:r>
    </w:p>
    <w:p w:rsidR="0008348C" w:rsidRDefault="0008348C" w:rsidP="000E004B">
      <w:pPr>
        <w:rPr>
          <w:rStyle w:val="Heading1Char"/>
          <w:sz w:val="24"/>
        </w:rPr>
      </w:pPr>
      <w:r>
        <w:rPr>
          <w:rStyle w:val="Heading1Char"/>
          <w:sz w:val="24"/>
        </w:rPr>
        <w:t xml:space="preserve">Vendor:           </w:t>
      </w:r>
      <w:sdt>
        <w:sdtPr>
          <w:rPr>
            <w:rStyle w:val="Style1"/>
          </w:rPr>
          <w:alias w:val="Vendor"/>
          <w:tag w:val="vendor"/>
          <w:id w:val="-1098703203"/>
          <w:showingPlcHdr/>
          <w:text w:multiLine="1"/>
        </w:sdtPr>
        <w:sdtEndPr>
          <w:rPr>
            <w:rStyle w:val="Heading1Char"/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8"/>
            <w:u w:val="none"/>
          </w:rPr>
        </w:sdtEndPr>
        <w:sdtContent>
          <w:r w:rsidR="000E2495" w:rsidRPr="00634C1E">
            <w:rPr>
              <w:rStyle w:val="PlaceholderText"/>
            </w:rPr>
            <w:t>Click here to enter text.</w:t>
          </w:r>
        </w:sdtContent>
      </w:sdt>
    </w:p>
    <w:p w:rsidR="0008348C" w:rsidRPr="00F06B3C" w:rsidRDefault="0008348C" w:rsidP="000E004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Style w:val="Heading1Char"/>
          <w:sz w:val="24"/>
        </w:rPr>
        <w:t xml:space="preserve">Description:  </w:t>
      </w:r>
      <w:sdt>
        <w:sdtPr>
          <w:rPr>
            <w:rStyle w:val="Style1"/>
          </w:rPr>
          <w:alias w:val="Description"/>
          <w:tag w:val="description"/>
          <w:id w:val="46035524"/>
          <w:showingPlcHdr/>
          <w:text/>
        </w:sdtPr>
        <w:sdtEndPr>
          <w:rPr>
            <w:rStyle w:val="Heading1Char"/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8"/>
            <w:u w:val="none"/>
          </w:rPr>
        </w:sdtEndPr>
        <w:sdtContent>
          <w:r w:rsidR="000E2495" w:rsidRPr="00634C1E">
            <w:rPr>
              <w:rStyle w:val="PlaceholderText"/>
            </w:rPr>
            <w:t>Click here to enter text.</w:t>
          </w:r>
        </w:sdtContent>
      </w:sdt>
    </w:p>
    <w:p w:rsidR="00D35253" w:rsidRPr="00F06B3C" w:rsidRDefault="00D35253" w:rsidP="00D35253">
      <w:pPr>
        <w:pStyle w:val="ListParagraph"/>
        <w:ind w:left="0"/>
        <w:rPr>
          <w:sz w:val="20"/>
        </w:rPr>
      </w:pPr>
      <w:r w:rsidRPr="00F06B3C">
        <w:rPr>
          <w:sz w:val="20"/>
        </w:rPr>
        <w:t xml:space="preserve">Use this form for pre-approval of </w:t>
      </w:r>
      <w:r w:rsidRPr="00F06B3C">
        <w:rPr>
          <w:b/>
          <w:i/>
          <w:sz w:val="20"/>
        </w:rPr>
        <w:t>P-Card purchases</w:t>
      </w:r>
      <w:r w:rsidRPr="00F06B3C">
        <w:rPr>
          <w:sz w:val="20"/>
        </w:rPr>
        <w:t xml:space="preserve"> or attach to </w:t>
      </w:r>
      <w:r w:rsidRPr="00F06B3C">
        <w:rPr>
          <w:b/>
          <w:i/>
          <w:sz w:val="20"/>
        </w:rPr>
        <w:t>ePro Purchase Requests</w:t>
      </w:r>
      <w:r w:rsidRPr="00F06B3C">
        <w:rPr>
          <w:sz w:val="20"/>
        </w:rPr>
        <w:t xml:space="preserve">.  </w:t>
      </w:r>
    </w:p>
    <w:p w:rsidR="00D35253" w:rsidRPr="00F06B3C" w:rsidRDefault="00D35253" w:rsidP="00D35253">
      <w:pPr>
        <w:pStyle w:val="ListParagraph"/>
        <w:ind w:left="0"/>
        <w:rPr>
          <w:sz w:val="20"/>
        </w:rPr>
      </w:pPr>
    </w:p>
    <w:p w:rsidR="00D35253" w:rsidRPr="00F06B3C" w:rsidRDefault="00D35253" w:rsidP="00D35253">
      <w:pPr>
        <w:pStyle w:val="ListParagraph"/>
        <w:ind w:left="0"/>
        <w:rPr>
          <w:sz w:val="20"/>
        </w:rPr>
      </w:pPr>
      <w:r w:rsidRPr="00F06B3C">
        <w:rPr>
          <w:sz w:val="20"/>
        </w:rPr>
        <w:t xml:space="preserve">Please date and provide name of contact, then check any boxes that apply to your </w:t>
      </w:r>
      <w:r w:rsidR="00572812">
        <w:rPr>
          <w:sz w:val="20"/>
        </w:rPr>
        <w:br/>
      </w:r>
      <w:r w:rsidRPr="00F06B3C">
        <w:rPr>
          <w:sz w:val="20"/>
        </w:rPr>
        <w:t xml:space="preserve">purchase and include with your request.  IT will provide EDP# and route for review.  </w:t>
      </w:r>
      <w:r w:rsidRPr="00F06B3C">
        <w:rPr>
          <w:sz w:val="20"/>
        </w:rPr>
        <w:br/>
        <w:t>Contact IT if you have any questions (see below).</w:t>
      </w:r>
    </w:p>
    <w:p w:rsidR="00D35253" w:rsidRPr="00F06B3C" w:rsidRDefault="00D35253" w:rsidP="008C6430">
      <w:pPr>
        <w:pStyle w:val="ListParagraph"/>
        <w:ind w:left="0"/>
        <w:rPr>
          <w:sz w:val="20"/>
        </w:rPr>
      </w:pPr>
    </w:p>
    <w:p w:rsidR="00886A3C" w:rsidRPr="00F06B3C" w:rsidRDefault="008C6430" w:rsidP="00F06B3C">
      <w:pPr>
        <w:pStyle w:val="ListParagraph"/>
        <w:ind w:left="0"/>
        <w:rPr>
          <w:sz w:val="20"/>
        </w:rPr>
      </w:pPr>
      <w:r w:rsidRPr="00F06B3C">
        <w:rPr>
          <w:sz w:val="20"/>
        </w:rPr>
        <w:t xml:space="preserve">Entry of purchase requests into ePro, IT </w:t>
      </w:r>
      <w:r w:rsidR="00D35253" w:rsidRPr="00F06B3C">
        <w:rPr>
          <w:sz w:val="20"/>
        </w:rPr>
        <w:t>Category Managers</w:t>
      </w:r>
      <w:r w:rsidRPr="00F06B3C">
        <w:rPr>
          <w:sz w:val="20"/>
        </w:rPr>
        <w:t xml:space="preserve"> and Approval, and use of P-Cards, will follow procedures defined by the University Purchasing Officer (UPO).</w:t>
      </w:r>
      <w:r w:rsidR="00886A3C" w:rsidRPr="00F06B3C">
        <w:rPr>
          <w:sz w:val="20"/>
        </w:rPr>
        <w:t>P</w:t>
      </w:r>
      <w:r w:rsidR="00D35253" w:rsidRPr="00F06B3C">
        <w:rPr>
          <w:sz w:val="20"/>
        </w:rPr>
        <w:t>-</w:t>
      </w:r>
      <w:r w:rsidR="00886A3C" w:rsidRPr="00F06B3C">
        <w:rPr>
          <w:sz w:val="20"/>
        </w:rPr>
        <w:t>Card transactions must receive pre-approval from IT for IT related purchases using this form.  After receivi</w:t>
      </w:r>
      <w:r w:rsidR="000F499D" w:rsidRPr="00F06B3C">
        <w:rPr>
          <w:sz w:val="20"/>
        </w:rPr>
        <w:t xml:space="preserve">ng approval, </w:t>
      </w:r>
      <w:r w:rsidR="00886A3C" w:rsidRPr="00F06B3C">
        <w:rPr>
          <w:sz w:val="20"/>
        </w:rPr>
        <w:t xml:space="preserve">make the purchase, send the receipt to </w:t>
      </w:r>
      <w:r w:rsidR="000F499D" w:rsidRPr="00F06B3C">
        <w:rPr>
          <w:sz w:val="20"/>
        </w:rPr>
        <w:t xml:space="preserve">IT </w:t>
      </w:r>
      <w:r w:rsidR="00886A3C" w:rsidRPr="00F06B3C">
        <w:rPr>
          <w:sz w:val="20"/>
        </w:rPr>
        <w:t xml:space="preserve">and you will receive a confirming email </w:t>
      </w:r>
      <w:r w:rsidR="00D35253" w:rsidRPr="00F06B3C">
        <w:rPr>
          <w:sz w:val="20"/>
        </w:rPr>
        <w:t xml:space="preserve">and EDP# </w:t>
      </w:r>
      <w:r w:rsidR="00886A3C" w:rsidRPr="00F06B3C">
        <w:rPr>
          <w:sz w:val="20"/>
        </w:rPr>
        <w:t xml:space="preserve">to </w:t>
      </w:r>
      <w:r w:rsidR="00D35253" w:rsidRPr="00F06B3C">
        <w:rPr>
          <w:sz w:val="20"/>
        </w:rPr>
        <w:t xml:space="preserve">attach to the </w:t>
      </w:r>
      <w:r w:rsidR="00886A3C" w:rsidRPr="00F06B3C">
        <w:rPr>
          <w:sz w:val="20"/>
        </w:rPr>
        <w:t>PCard log submit</w:t>
      </w:r>
      <w:r w:rsidR="00D35253" w:rsidRPr="00F06B3C">
        <w:rPr>
          <w:sz w:val="20"/>
        </w:rPr>
        <w:t>ted</w:t>
      </w:r>
      <w:r w:rsidR="00886A3C" w:rsidRPr="00F06B3C">
        <w:rPr>
          <w:sz w:val="20"/>
        </w:rPr>
        <w:t xml:space="preserve"> to Business Services.</w:t>
      </w:r>
    </w:p>
    <w:p w:rsidR="00BD03AC" w:rsidRPr="00F06B3C" w:rsidRDefault="00C0474C" w:rsidP="00BD03AC">
      <w:pPr>
        <w:pStyle w:val="ListParagraph"/>
        <w:ind w:left="0"/>
        <w:rPr>
          <w:sz w:val="20"/>
        </w:rPr>
      </w:pPr>
      <w:r w:rsidRPr="00F06B3C">
        <w:rPr>
          <w:sz w:val="20"/>
        </w:rPr>
        <w:br/>
      </w:r>
      <w:r w:rsidR="00BD03AC" w:rsidRPr="00F06B3C">
        <w:rPr>
          <w:sz w:val="20"/>
        </w:rPr>
        <w:t xml:space="preserve">The purpose of this form is to </w:t>
      </w:r>
      <w:r w:rsidR="00BD03AC" w:rsidRPr="00F06B3C">
        <w:rPr>
          <w:b/>
          <w:i/>
          <w:sz w:val="20"/>
        </w:rPr>
        <w:t>assure information security and compliance with applicable policies and laws, assure compatibility</w:t>
      </w:r>
      <w:r w:rsidR="00BD03AC" w:rsidRPr="00F06B3C">
        <w:rPr>
          <w:sz w:val="20"/>
        </w:rPr>
        <w:t xml:space="preserve"> of the hardware and software purchases with our computing and networking environment, </w:t>
      </w:r>
      <w:r w:rsidR="00BD03AC" w:rsidRPr="00F06B3C">
        <w:rPr>
          <w:b/>
          <w:i/>
          <w:sz w:val="20"/>
        </w:rPr>
        <w:t>avoid duplication</w:t>
      </w:r>
      <w:r w:rsidR="00BD03AC" w:rsidRPr="00F06B3C">
        <w:rPr>
          <w:sz w:val="20"/>
        </w:rPr>
        <w:t xml:space="preserve"> of purchases such as software licenses, </w:t>
      </w:r>
      <w:r w:rsidR="00BD03AC" w:rsidRPr="00F06B3C">
        <w:rPr>
          <w:b/>
          <w:i/>
          <w:sz w:val="20"/>
        </w:rPr>
        <w:t>track IT spending</w:t>
      </w:r>
      <w:r w:rsidR="00BD03AC" w:rsidRPr="00F06B3C">
        <w:rPr>
          <w:sz w:val="20"/>
        </w:rPr>
        <w:t xml:space="preserve"> by the university, and </w:t>
      </w:r>
      <w:r w:rsidR="00BD03AC" w:rsidRPr="00F06B3C">
        <w:rPr>
          <w:b/>
          <w:i/>
          <w:sz w:val="20"/>
        </w:rPr>
        <w:t xml:space="preserve">coordinate support </w:t>
      </w:r>
      <w:r w:rsidR="00BD03AC" w:rsidRPr="00F06B3C">
        <w:rPr>
          <w:sz w:val="20"/>
        </w:rPr>
        <w:t>that will be required from IT.</w:t>
      </w:r>
    </w:p>
    <w:tbl>
      <w:tblPr>
        <w:tblpPr w:leftFromText="180" w:rightFromText="180" w:vertAnchor="text" w:tblpX="640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4"/>
      </w:tblGrid>
      <w:sdt>
        <w:sdtPr>
          <w:rPr>
            <w:b/>
            <w:i/>
            <w:sz w:val="20"/>
            <w:u w:val="single"/>
          </w:rPr>
          <w:id w:val="-708726865"/>
          <w:placeholder>
            <w:docPart w:val="60E13759787A4DD9981717B95ED26371"/>
          </w:placeholder>
        </w:sdtPr>
        <w:sdtEndPr>
          <w:rPr>
            <w:u w:val="none"/>
          </w:rPr>
        </w:sdtEndPr>
        <w:sdtContent>
          <w:tr w:rsidR="006B0E06" w:rsidTr="006B0E06">
            <w:trPr>
              <w:trHeight w:val="7440"/>
            </w:trPr>
            <w:tc>
              <w:tcPr>
                <w:tcW w:w="4614" w:type="dxa"/>
              </w:tcPr>
              <w:p w:rsidR="006B0E06" w:rsidRPr="006B0E06" w:rsidRDefault="006B0E06" w:rsidP="006B0E06">
                <w:pPr>
                  <w:rPr>
                    <w:b/>
                    <w:i/>
                    <w:sz w:val="20"/>
                  </w:rPr>
                </w:pPr>
                <w:r w:rsidRPr="006B0E06">
                  <w:rPr>
                    <w:b/>
                    <w:i/>
                    <w:sz w:val="20"/>
                    <w:u w:val="single"/>
                  </w:rPr>
                  <w:t>Reviewer’s Comments</w:t>
                </w:r>
                <w:r w:rsidRPr="006B0E06">
                  <w:rPr>
                    <w:b/>
                    <w:i/>
                    <w:sz w:val="20"/>
                  </w:rPr>
                  <w:t>:</w:t>
                </w:r>
              </w:p>
            </w:tc>
          </w:tr>
        </w:sdtContent>
      </w:sdt>
    </w:tbl>
    <w:p w:rsidR="00F06B3C" w:rsidRPr="00F06B3C" w:rsidRDefault="000E004B" w:rsidP="00F06B3C">
      <w:pPr>
        <w:rPr>
          <w:b/>
          <w:sz w:val="20"/>
        </w:rPr>
      </w:pPr>
      <w:r w:rsidRPr="00F06B3C">
        <w:rPr>
          <w:b/>
          <w:sz w:val="20"/>
        </w:rPr>
        <w:t xml:space="preserve">Items </w:t>
      </w:r>
      <w:r w:rsidR="00670EF0" w:rsidRPr="00F06B3C">
        <w:rPr>
          <w:b/>
          <w:sz w:val="20"/>
        </w:rPr>
        <w:t xml:space="preserve">covered </w:t>
      </w:r>
      <w:r w:rsidRPr="00F06B3C">
        <w:rPr>
          <w:b/>
          <w:sz w:val="20"/>
        </w:rPr>
        <w:t>include</w:t>
      </w:r>
    </w:p>
    <w:p w:rsidR="009B6DD9" w:rsidRPr="00F06B3C" w:rsidRDefault="000C5B01" w:rsidP="00F06B3C">
      <w:pPr>
        <w:pStyle w:val="ListParagraph"/>
        <w:ind w:left="0"/>
        <w:rPr>
          <w:sz w:val="20"/>
        </w:rPr>
      </w:pPr>
      <w:sdt>
        <w:sdtPr>
          <w:rPr>
            <w:b/>
            <w:sz w:val="20"/>
          </w:rPr>
          <w:id w:val="-16127345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BD03AC" w:rsidRPr="00F06B3C">
        <w:rPr>
          <w:b/>
          <w:sz w:val="20"/>
        </w:rPr>
        <w:t>software</w:t>
      </w:r>
      <w:r w:rsidR="00BD03AC" w:rsidRPr="00F06B3C">
        <w:rPr>
          <w:b/>
          <w:sz w:val="20"/>
        </w:rPr>
        <w:br/>
      </w:r>
      <w:sdt>
        <w:sdtPr>
          <w:rPr>
            <w:b/>
            <w:sz w:val="20"/>
          </w:rPr>
          <w:id w:val="-17474157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b/>
          <w:sz w:val="20"/>
        </w:rPr>
        <w:t xml:space="preserve">IT </w:t>
      </w:r>
      <w:r w:rsidR="00BD03AC" w:rsidRPr="00F06B3C">
        <w:rPr>
          <w:b/>
          <w:sz w:val="20"/>
        </w:rPr>
        <w:t>services</w:t>
      </w:r>
      <w:r w:rsidR="00BD03AC" w:rsidRPr="00F06B3C">
        <w:rPr>
          <w:b/>
          <w:sz w:val="20"/>
        </w:rPr>
        <w:br/>
      </w:r>
      <w:sdt>
        <w:sdtPr>
          <w:rPr>
            <w:b/>
            <w:sz w:val="20"/>
          </w:rPr>
          <w:id w:val="-1246263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0E004B" w:rsidRPr="00F06B3C">
        <w:rPr>
          <w:b/>
          <w:sz w:val="20"/>
        </w:rPr>
        <w:t>equipment or peripherals attached to the campus network</w:t>
      </w:r>
      <w:r w:rsidR="00BD03AC" w:rsidRPr="00F06B3C">
        <w:rPr>
          <w:b/>
          <w:sz w:val="20"/>
        </w:rPr>
        <w:br/>
      </w:r>
      <w:sdt>
        <w:sdtPr>
          <w:rPr>
            <w:b/>
            <w:sz w:val="20"/>
          </w:rPr>
          <w:id w:val="14414916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670EF0" w:rsidRPr="00F06B3C">
        <w:rPr>
          <w:b/>
          <w:sz w:val="20"/>
        </w:rPr>
        <w:t>anything that will require support from IT</w:t>
      </w:r>
      <w:r w:rsidR="000E004B" w:rsidRPr="00F06B3C">
        <w:rPr>
          <w:sz w:val="20"/>
        </w:rPr>
        <w:t>.</w:t>
      </w:r>
    </w:p>
    <w:p w:rsidR="00886A3C" w:rsidRPr="00F06B3C" w:rsidRDefault="00886A3C" w:rsidP="00886A3C">
      <w:pPr>
        <w:pStyle w:val="ListParagraph"/>
        <w:rPr>
          <w:sz w:val="20"/>
        </w:rPr>
      </w:pPr>
    </w:p>
    <w:p w:rsidR="00B54856" w:rsidRPr="00F06B3C" w:rsidRDefault="008C6430" w:rsidP="008521A5">
      <w:pPr>
        <w:pStyle w:val="ListParagraph"/>
        <w:ind w:left="0"/>
        <w:rPr>
          <w:sz w:val="20"/>
        </w:rPr>
      </w:pPr>
      <w:r w:rsidRPr="00F06B3C">
        <w:rPr>
          <w:b/>
          <w:sz w:val="20"/>
        </w:rPr>
        <w:t>Contract, Agreement, Terms and Conditions, and Scope of Work</w:t>
      </w:r>
    </w:p>
    <w:p w:rsidR="00886A3C" w:rsidRPr="00F06B3C" w:rsidRDefault="00886A3C" w:rsidP="008521A5">
      <w:pPr>
        <w:pStyle w:val="ListParagraph"/>
        <w:ind w:left="0"/>
        <w:rPr>
          <w:sz w:val="20"/>
        </w:rPr>
      </w:pPr>
    </w:p>
    <w:p w:rsidR="008C6430" w:rsidRPr="00F06B3C" w:rsidRDefault="000C5B01" w:rsidP="00EB0E3A">
      <w:pPr>
        <w:pStyle w:val="ListParagraph"/>
        <w:spacing w:line="240" w:lineRule="auto"/>
        <w:ind w:left="270" w:hanging="270"/>
        <w:rPr>
          <w:sz w:val="20"/>
        </w:rPr>
      </w:pPr>
      <w:sdt>
        <w:sdtPr>
          <w:rPr>
            <w:b/>
            <w:sz w:val="20"/>
          </w:rPr>
          <w:id w:val="13219285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B54856" w:rsidRPr="00F06B3C">
        <w:rPr>
          <w:sz w:val="20"/>
        </w:rPr>
        <w:t xml:space="preserve">Documents representing </w:t>
      </w:r>
      <w:r w:rsidR="000E2D7C" w:rsidRPr="00F06B3C">
        <w:rPr>
          <w:b/>
          <w:i/>
          <w:sz w:val="20"/>
        </w:rPr>
        <w:t>Contract</w:t>
      </w:r>
      <w:r w:rsidR="00B54856" w:rsidRPr="00F06B3C">
        <w:rPr>
          <w:b/>
          <w:i/>
          <w:sz w:val="20"/>
        </w:rPr>
        <w:t xml:space="preserve">, Terms and Conditions, </w:t>
      </w:r>
      <w:r w:rsidR="006B0E06">
        <w:rPr>
          <w:b/>
          <w:i/>
          <w:sz w:val="20"/>
        </w:rPr>
        <w:t>Agreements,</w:t>
      </w:r>
      <w:r w:rsidR="006B0E06">
        <w:rPr>
          <w:b/>
          <w:i/>
          <w:sz w:val="20"/>
        </w:rPr>
        <w:br/>
      </w:r>
      <w:r w:rsidR="00B54856" w:rsidRPr="00F06B3C">
        <w:rPr>
          <w:b/>
          <w:i/>
          <w:sz w:val="20"/>
        </w:rPr>
        <w:t>and Scope of Work</w:t>
      </w:r>
      <w:r w:rsidR="00B54856" w:rsidRPr="00F06B3C">
        <w:rPr>
          <w:sz w:val="20"/>
        </w:rPr>
        <w:t xml:space="preserve"> must be attached to the purchase request.</w:t>
      </w:r>
    </w:p>
    <w:p w:rsidR="00E216C8" w:rsidRPr="00F06B3C" w:rsidRDefault="008521A5" w:rsidP="00886A3C">
      <w:pPr>
        <w:rPr>
          <w:b/>
          <w:sz w:val="20"/>
        </w:rPr>
      </w:pPr>
      <w:r w:rsidRPr="00F06B3C">
        <w:rPr>
          <w:b/>
          <w:sz w:val="20"/>
        </w:rPr>
        <w:t>IT NIGP Categories</w:t>
      </w:r>
      <w:r w:rsidR="00BF751C" w:rsidRPr="00F06B3C">
        <w:rPr>
          <w:b/>
          <w:sz w:val="20"/>
        </w:rPr>
        <w:t xml:space="preserve"> </w:t>
      </w:r>
      <w:r w:rsidR="00BF751C" w:rsidRPr="00F06B3C">
        <w:rPr>
          <w:i/>
          <w:sz w:val="18"/>
        </w:rPr>
        <w:t>(typical examples here, contact IT for exhaustive list)</w:t>
      </w:r>
    </w:p>
    <w:p w:rsidR="00E216C8" w:rsidRPr="00F06B3C" w:rsidRDefault="00BD03AC" w:rsidP="00F06B3C">
      <w:pPr>
        <w:pStyle w:val="ListParagraph"/>
        <w:ind w:left="0"/>
        <w:rPr>
          <w:sz w:val="20"/>
        </w:rPr>
      </w:pPr>
      <w:r w:rsidRPr="00F06B3C">
        <w:rPr>
          <w:b/>
          <w:sz w:val="20"/>
        </w:rPr>
        <w:t xml:space="preserve">      </w:t>
      </w:r>
      <w:r w:rsidR="00E216C8" w:rsidRPr="00F06B3C">
        <w:rPr>
          <w:sz w:val="20"/>
        </w:rPr>
        <w:t>Code</w:t>
      </w:r>
      <w:r w:rsidR="00E216C8" w:rsidRPr="00F06B3C">
        <w:rPr>
          <w:sz w:val="20"/>
        </w:rPr>
        <w:tab/>
        <w:t>Description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-727224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6B0E06">
        <w:rPr>
          <w:sz w:val="20"/>
        </w:rPr>
        <w:t xml:space="preserve">20448  </w:t>
      </w:r>
      <w:r w:rsidR="00E216C8" w:rsidRPr="00F06B3C">
        <w:rPr>
          <w:sz w:val="20"/>
        </w:rPr>
        <w:t>Computer Accessories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1851910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20453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Computer Desktop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-1376554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20454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Computer Laptops/Desktops/Tablets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1568528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20460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Computer Display Monitors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7422999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20476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Printer, Inkjet</w:t>
      </w:r>
      <w:r w:rsidR="00BF751C" w:rsidRPr="00F06B3C">
        <w:rPr>
          <w:sz w:val="20"/>
        </w:rPr>
        <w:t xml:space="preserve"> (not generally recommended)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-18537186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20477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Printer, Laser</w:t>
      </w:r>
    </w:p>
    <w:p w:rsidR="00E216C8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9327916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20488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Scanners, Document: Handheld, Desktop and High Volume</w:t>
      </w:r>
    </w:p>
    <w:p w:rsidR="00B211AA" w:rsidRPr="00F06B3C" w:rsidRDefault="000C5B01" w:rsidP="00EB0E3A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18401845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B211AA" w:rsidRPr="00F06B3C">
        <w:rPr>
          <w:sz w:val="20"/>
        </w:rPr>
        <w:t>20687</w:t>
      </w:r>
      <w:r w:rsidR="006B0E06">
        <w:rPr>
          <w:sz w:val="20"/>
        </w:rPr>
        <w:t xml:space="preserve">  </w:t>
      </w:r>
      <w:r w:rsidR="00B211AA" w:rsidRPr="00F06B3C">
        <w:rPr>
          <w:sz w:val="20"/>
        </w:rPr>
        <w:t>Servers Micro/Mini/Mainframe Computer</w:t>
      </w:r>
    </w:p>
    <w:p w:rsidR="0008348C" w:rsidRDefault="000C5B01" w:rsidP="00EB0E3A">
      <w:pPr>
        <w:pStyle w:val="ListParagraph"/>
        <w:spacing w:line="240" w:lineRule="auto"/>
        <w:ind w:left="0"/>
        <w:rPr>
          <w:b/>
          <w:sz w:val="20"/>
        </w:rPr>
      </w:pPr>
      <w:sdt>
        <w:sdtPr>
          <w:rPr>
            <w:b/>
            <w:sz w:val="20"/>
          </w:rPr>
          <w:id w:val="-19542370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20775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 xml:space="preserve">Projection Devices and Accessories:  </w:t>
      </w:r>
      <w:r w:rsidR="006B0E06">
        <w:rPr>
          <w:sz w:val="20"/>
        </w:rPr>
        <w:t>Smart boards</w:t>
      </w:r>
      <w:r w:rsidR="00E216C8" w:rsidRPr="00F06B3C">
        <w:rPr>
          <w:sz w:val="20"/>
        </w:rPr>
        <w:t>, Panels, etc.</w:t>
      </w:r>
      <w:r w:rsidR="00F06B3C">
        <w:rPr>
          <w:sz w:val="20"/>
        </w:rPr>
        <w:br/>
      </w:r>
      <w:sdt>
        <w:sdtPr>
          <w:rPr>
            <w:b/>
            <w:sz w:val="20"/>
          </w:rPr>
          <w:id w:val="80643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E216C8" w:rsidRPr="00F06B3C">
        <w:rPr>
          <w:sz w:val="20"/>
        </w:rPr>
        <w:t>20811</w:t>
      </w:r>
      <w:r w:rsidR="006B0E06">
        <w:rPr>
          <w:sz w:val="20"/>
        </w:rPr>
        <w:t xml:space="preserve">  </w:t>
      </w:r>
      <w:r w:rsidR="00E216C8" w:rsidRPr="00F06B3C">
        <w:rPr>
          <w:sz w:val="20"/>
        </w:rPr>
        <w:t>Application Software, Microcomputer</w:t>
      </w:r>
      <w:r w:rsidR="00F06B3C">
        <w:rPr>
          <w:b/>
          <w:sz w:val="20"/>
        </w:rPr>
        <w:br/>
      </w:r>
      <w:r w:rsidR="00F06B3C">
        <w:rPr>
          <w:b/>
          <w:sz w:val="20"/>
        </w:rPr>
        <w:br/>
      </w:r>
    </w:p>
    <w:p w:rsidR="0008348C" w:rsidRDefault="0008348C" w:rsidP="00EB0E3A">
      <w:pPr>
        <w:pStyle w:val="ListParagraph"/>
        <w:spacing w:line="240" w:lineRule="auto"/>
        <w:ind w:left="0"/>
        <w:rPr>
          <w:b/>
          <w:sz w:val="20"/>
        </w:rPr>
      </w:pPr>
    </w:p>
    <w:p w:rsidR="00DF5906" w:rsidRDefault="00DF5906" w:rsidP="00EB0E3A">
      <w:pPr>
        <w:pStyle w:val="ListParagraph"/>
        <w:spacing w:line="240" w:lineRule="auto"/>
        <w:ind w:left="0"/>
        <w:rPr>
          <w:b/>
          <w:sz w:val="20"/>
        </w:rPr>
      </w:pPr>
    </w:p>
    <w:p w:rsidR="00DF5906" w:rsidRDefault="00DF5906" w:rsidP="00EB0E3A">
      <w:pPr>
        <w:pStyle w:val="ListParagraph"/>
        <w:spacing w:line="240" w:lineRule="auto"/>
        <w:ind w:left="0"/>
        <w:rPr>
          <w:b/>
          <w:sz w:val="20"/>
        </w:rPr>
      </w:pPr>
    </w:p>
    <w:p w:rsidR="00E216C8" w:rsidRPr="00F06B3C" w:rsidRDefault="00E216C8" w:rsidP="00EB0E3A">
      <w:pPr>
        <w:pStyle w:val="ListParagraph"/>
        <w:spacing w:line="240" w:lineRule="auto"/>
        <w:ind w:left="0"/>
        <w:rPr>
          <w:sz w:val="20"/>
        </w:rPr>
      </w:pPr>
      <w:r w:rsidRPr="00F06B3C">
        <w:rPr>
          <w:b/>
          <w:sz w:val="20"/>
        </w:rPr>
        <w:lastRenderedPageBreak/>
        <w:t>External Storage Devices</w:t>
      </w:r>
    </w:p>
    <w:p w:rsidR="00E216C8" w:rsidRPr="00F06B3C" w:rsidRDefault="00E216C8" w:rsidP="0008348C">
      <w:pPr>
        <w:pStyle w:val="ListParagraph"/>
        <w:spacing w:line="240" w:lineRule="auto"/>
        <w:ind w:left="0"/>
        <w:rPr>
          <w:sz w:val="20"/>
        </w:rPr>
      </w:pPr>
      <w:r w:rsidRPr="00F06B3C">
        <w:rPr>
          <w:sz w:val="20"/>
        </w:rPr>
        <w:br/>
      </w:r>
      <w:sdt>
        <w:sdtPr>
          <w:rPr>
            <w:b/>
            <w:sz w:val="20"/>
          </w:rPr>
          <w:id w:val="-13395388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Pr="00F06B3C">
        <w:rPr>
          <w:sz w:val="20"/>
        </w:rPr>
        <w:t>Purchase of external storage devices such as USB drives, Memory Cards, and Hard drives, requires provision of a Justification statement as a comment or document attachment attesting to whether or not sensitive or confidential data will be stored.  If such information will be stored on the device, then it must meet  FIPS</w:t>
      </w:r>
      <w:r w:rsidR="006B0E06">
        <w:rPr>
          <w:sz w:val="20"/>
        </w:rPr>
        <w:t xml:space="preserve"> </w:t>
      </w:r>
      <w:r w:rsidRPr="00F06B3C">
        <w:rPr>
          <w:sz w:val="20"/>
        </w:rPr>
        <w:t xml:space="preserve">140-2 Level 3 standard.  </w:t>
      </w:r>
      <w:r w:rsidR="00B0514E" w:rsidRPr="00F06B3C">
        <w:rPr>
          <w:b/>
          <w:i/>
          <w:sz w:val="20"/>
          <w:u w:val="single"/>
        </w:rPr>
        <w:t>See memo of recommended equipment and specifications.</w:t>
      </w:r>
    </w:p>
    <w:p w:rsidR="00BD03AC" w:rsidRPr="00F06B3C" w:rsidRDefault="00BD03AC" w:rsidP="00E216C8">
      <w:pPr>
        <w:pStyle w:val="ListParagraph"/>
        <w:ind w:left="0"/>
        <w:rPr>
          <w:b/>
          <w:sz w:val="20"/>
        </w:rPr>
      </w:pPr>
    </w:p>
    <w:p w:rsidR="00E216C8" w:rsidRPr="00F06B3C" w:rsidRDefault="00FC0659" w:rsidP="00E216C8">
      <w:pPr>
        <w:pStyle w:val="ListParagraph"/>
        <w:ind w:left="0"/>
        <w:rPr>
          <w:b/>
          <w:sz w:val="20"/>
        </w:rPr>
      </w:pPr>
      <w:r w:rsidRPr="00F06B3C">
        <w:rPr>
          <w:b/>
          <w:sz w:val="20"/>
        </w:rPr>
        <w:t xml:space="preserve">SAAS </w:t>
      </w:r>
      <w:r w:rsidR="008521A5" w:rsidRPr="00F06B3C">
        <w:rPr>
          <w:b/>
          <w:sz w:val="20"/>
        </w:rPr>
        <w:t xml:space="preserve">(Software As A Service) </w:t>
      </w:r>
      <w:r w:rsidRPr="00F06B3C">
        <w:rPr>
          <w:b/>
          <w:sz w:val="20"/>
        </w:rPr>
        <w:t>Checklist</w:t>
      </w:r>
    </w:p>
    <w:p w:rsidR="00E216C8" w:rsidRPr="00F06B3C" w:rsidRDefault="00E216C8" w:rsidP="00E216C8">
      <w:pPr>
        <w:pStyle w:val="ListParagraph"/>
        <w:ind w:left="0"/>
        <w:rPr>
          <w:sz w:val="20"/>
        </w:rPr>
      </w:pPr>
    </w:p>
    <w:p w:rsidR="00E216C8" w:rsidRPr="00F06B3C" w:rsidRDefault="000C5B01" w:rsidP="0008348C">
      <w:pPr>
        <w:pStyle w:val="ListParagraph"/>
        <w:spacing w:line="240" w:lineRule="auto"/>
        <w:ind w:left="0"/>
        <w:rPr>
          <w:b/>
          <w:i/>
          <w:sz w:val="20"/>
          <w:u w:val="single"/>
        </w:rPr>
      </w:pPr>
      <w:sdt>
        <w:sdtPr>
          <w:rPr>
            <w:b/>
            <w:sz w:val="20"/>
          </w:rPr>
          <w:id w:val="12133090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33004F" w:rsidRPr="00F06B3C">
        <w:rPr>
          <w:sz w:val="20"/>
        </w:rPr>
        <w:t>Externally ho</w:t>
      </w:r>
      <w:r w:rsidR="00E216C8" w:rsidRPr="00F06B3C">
        <w:rPr>
          <w:sz w:val="20"/>
        </w:rPr>
        <w:t>sted software</w:t>
      </w:r>
      <w:r w:rsidR="0033004F" w:rsidRPr="00F06B3C">
        <w:rPr>
          <w:sz w:val="20"/>
        </w:rPr>
        <w:t xml:space="preserve"> must have the SAAS Contract Checklist completed to facilitate review and approval.  </w:t>
      </w:r>
      <w:r w:rsidR="0033004F" w:rsidRPr="00F06B3C">
        <w:rPr>
          <w:b/>
          <w:i/>
          <w:sz w:val="20"/>
          <w:u w:val="single"/>
        </w:rPr>
        <w:t>See SAAS Contract Checklist form.</w:t>
      </w:r>
    </w:p>
    <w:p w:rsidR="0033004F" w:rsidRPr="00F06B3C" w:rsidRDefault="0033004F" w:rsidP="00E216C8">
      <w:pPr>
        <w:pStyle w:val="ListParagraph"/>
        <w:ind w:left="0" w:firstLine="720"/>
        <w:rPr>
          <w:b/>
          <w:sz w:val="20"/>
        </w:rPr>
      </w:pPr>
    </w:p>
    <w:p w:rsidR="0033004F" w:rsidRPr="00F06B3C" w:rsidRDefault="008521A5" w:rsidP="00B54856">
      <w:pPr>
        <w:pStyle w:val="ListParagraph"/>
        <w:ind w:left="0"/>
        <w:rPr>
          <w:b/>
          <w:sz w:val="20"/>
        </w:rPr>
      </w:pPr>
      <w:r w:rsidRPr="00F06B3C">
        <w:rPr>
          <w:b/>
          <w:sz w:val="20"/>
        </w:rPr>
        <w:t>Campus Licensed Software</w:t>
      </w:r>
    </w:p>
    <w:p w:rsidR="0033004F" w:rsidRPr="00F06B3C" w:rsidRDefault="0033004F" w:rsidP="00E216C8">
      <w:pPr>
        <w:pStyle w:val="ListParagraph"/>
        <w:ind w:left="0" w:firstLine="720"/>
        <w:rPr>
          <w:sz w:val="20"/>
        </w:rPr>
      </w:pPr>
    </w:p>
    <w:p w:rsidR="0033004F" w:rsidRPr="00F06B3C" w:rsidRDefault="0033004F" w:rsidP="00A541A2">
      <w:pPr>
        <w:pStyle w:val="ListParagraph"/>
        <w:spacing w:line="240" w:lineRule="auto"/>
        <w:ind w:left="0"/>
        <w:rPr>
          <w:sz w:val="20"/>
        </w:rPr>
      </w:pPr>
      <w:r w:rsidRPr="00F06B3C">
        <w:rPr>
          <w:sz w:val="20"/>
        </w:rPr>
        <w:t>The following software titles are licensed for the campus and should not require a separate, additional purchase</w:t>
      </w:r>
      <w:r w:rsidR="00BD03AC" w:rsidRPr="00F06B3C">
        <w:rPr>
          <w:sz w:val="20"/>
        </w:rPr>
        <w:t xml:space="preserve"> and may be requested from IT for installation</w:t>
      </w:r>
      <w:r w:rsidRPr="00F06B3C">
        <w:rPr>
          <w:sz w:val="20"/>
        </w:rPr>
        <w:t>.</w:t>
      </w:r>
    </w:p>
    <w:p w:rsidR="0033004F" w:rsidRPr="00F06B3C" w:rsidRDefault="0033004F" w:rsidP="00A541A2">
      <w:pPr>
        <w:pStyle w:val="ListParagraph"/>
        <w:spacing w:line="240" w:lineRule="auto"/>
        <w:rPr>
          <w:sz w:val="20"/>
        </w:rPr>
      </w:pPr>
    </w:p>
    <w:p w:rsidR="0033004F" w:rsidRPr="00F06B3C" w:rsidRDefault="000C5B01" w:rsidP="00A541A2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-4687495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D03AC" w:rsidRPr="00F06B3C">
        <w:rPr>
          <w:b/>
          <w:sz w:val="20"/>
        </w:rPr>
        <w:t xml:space="preserve">  </w:t>
      </w:r>
      <w:r w:rsidR="0033004F" w:rsidRPr="00F06B3C">
        <w:rPr>
          <w:sz w:val="20"/>
        </w:rPr>
        <w:t xml:space="preserve">Microsoft Windows </w:t>
      </w:r>
    </w:p>
    <w:p w:rsidR="0033004F" w:rsidRPr="00F06B3C" w:rsidRDefault="000C5B01" w:rsidP="00A541A2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1088197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D03AC" w:rsidRPr="00F06B3C">
        <w:rPr>
          <w:b/>
          <w:sz w:val="20"/>
        </w:rPr>
        <w:t xml:space="preserve">  </w:t>
      </w:r>
      <w:r w:rsidR="0033004F" w:rsidRPr="00F06B3C">
        <w:rPr>
          <w:sz w:val="20"/>
        </w:rPr>
        <w:t xml:space="preserve">Microsoft Office </w:t>
      </w:r>
    </w:p>
    <w:p w:rsidR="0033004F" w:rsidRPr="00F06B3C" w:rsidRDefault="000C5B01" w:rsidP="00A541A2">
      <w:pPr>
        <w:pStyle w:val="ListParagraph"/>
        <w:spacing w:line="240" w:lineRule="auto"/>
        <w:ind w:left="0"/>
        <w:rPr>
          <w:sz w:val="20"/>
        </w:rPr>
      </w:pPr>
      <w:sdt>
        <w:sdtPr>
          <w:rPr>
            <w:b/>
            <w:sz w:val="20"/>
          </w:rPr>
          <w:id w:val="15905786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33004F" w:rsidRPr="00F06B3C">
        <w:rPr>
          <w:sz w:val="20"/>
        </w:rPr>
        <w:t>SPSS Base</w:t>
      </w:r>
    </w:p>
    <w:p w:rsidR="0033004F" w:rsidRPr="00F06B3C" w:rsidRDefault="000C5B01" w:rsidP="00A541A2">
      <w:pPr>
        <w:pStyle w:val="ListParagraph"/>
        <w:spacing w:line="240" w:lineRule="auto"/>
        <w:ind w:left="270" w:hanging="270"/>
        <w:rPr>
          <w:sz w:val="20"/>
        </w:rPr>
      </w:pPr>
      <w:sdt>
        <w:sdtPr>
          <w:rPr>
            <w:b/>
            <w:sz w:val="20"/>
          </w:rPr>
          <w:id w:val="6031586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33004F" w:rsidRPr="00F06B3C">
        <w:rPr>
          <w:sz w:val="20"/>
        </w:rPr>
        <w:t>Adobe Creative Suite Master Collection</w:t>
      </w:r>
      <w:r w:rsidR="00B54856" w:rsidRPr="00F06B3C">
        <w:rPr>
          <w:sz w:val="20"/>
        </w:rPr>
        <w:t xml:space="preserve"> CS6</w:t>
      </w:r>
      <w:r w:rsidR="0033004F" w:rsidRPr="00F06B3C">
        <w:rPr>
          <w:sz w:val="20"/>
        </w:rPr>
        <w:t xml:space="preserve">, including: </w:t>
      </w:r>
      <w:r w:rsidR="00B54856" w:rsidRPr="00F06B3C">
        <w:rPr>
          <w:sz w:val="20"/>
        </w:rPr>
        <w:t>Photoshop® CS6 Extended, Illustrator® CS6, InDesign® CS6, Acrobat® X Pro, Flash® Professional CS6, Flash Builder® 4.6 Premium Edition, Dreamweaver® CS6, Fireworks® CS6, Adobe Premiere® Pro CS6, After Effects® CS6, Adobe Audition® CS6, SpeedGrade™ CS6, Prelude™ CS6, Encore® CS6, Bridge CS6, Media Encoder CS6</w:t>
      </w:r>
    </w:p>
    <w:p w:rsidR="00B54856" w:rsidRPr="00F06B3C" w:rsidRDefault="00B54856" w:rsidP="00A541A2">
      <w:pPr>
        <w:pStyle w:val="ListParagraph"/>
        <w:spacing w:line="240" w:lineRule="auto"/>
        <w:ind w:left="0"/>
        <w:rPr>
          <w:sz w:val="20"/>
        </w:rPr>
      </w:pPr>
    </w:p>
    <w:p w:rsidR="00B54856" w:rsidRPr="00A541A2" w:rsidRDefault="00B54856" w:rsidP="00A541A2">
      <w:pPr>
        <w:pStyle w:val="ListParagraph"/>
        <w:spacing w:line="240" w:lineRule="auto"/>
        <w:ind w:left="0"/>
        <w:rPr>
          <w:i/>
          <w:sz w:val="20"/>
        </w:rPr>
      </w:pPr>
      <w:r w:rsidRPr="00F06B3C">
        <w:rPr>
          <w:i/>
          <w:sz w:val="20"/>
        </w:rPr>
        <w:t xml:space="preserve">IT maintains a master list of campus licensed software </w:t>
      </w:r>
      <w:r w:rsidR="000E2D7C" w:rsidRPr="00F06B3C">
        <w:rPr>
          <w:i/>
          <w:sz w:val="20"/>
        </w:rPr>
        <w:t xml:space="preserve">that will be made </w:t>
      </w:r>
      <w:r w:rsidR="00A541A2">
        <w:rPr>
          <w:i/>
          <w:sz w:val="20"/>
        </w:rPr>
        <w:t>available upon request.</w:t>
      </w:r>
    </w:p>
    <w:p w:rsidR="00FA54EA" w:rsidRPr="00F06B3C" w:rsidRDefault="00FA54EA" w:rsidP="00FA54EA">
      <w:pPr>
        <w:rPr>
          <w:b/>
          <w:sz w:val="20"/>
        </w:rPr>
      </w:pPr>
      <w:r w:rsidRPr="00F06B3C">
        <w:rPr>
          <w:b/>
          <w:sz w:val="20"/>
        </w:rPr>
        <w:t>Americans with Disabilities Act (ADA)</w:t>
      </w:r>
    </w:p>
    <w:p w:rsidR="00FA54EA" w:rsidRPr="00F06B3C" w:rsidRDefault="000C5B01" w:rsidP="00A541A2">
      <w:pPr>
        <w:spacing w:line="240" w:lineRule="auto"/>
        <w:ind w:left="270" w:hanging="270"/>
        <w:rPr>
          <w:sz w:val="20"/>
        </w:rPr>
      </w:pPr>
      <w:sdt>
        <w:sdtPr>
          <w:rPr>
            <w:b/>
            <w:sz w:val="20"/>
          </w:rPr>
          <w:id w:val="19995363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FA54EA" w:rsidRPr="00F06B3C">
        <w:rPr>
          <w:sz w:val="20"/>
        </w:rPr>
        <w:t>Solutions, including hardware, software, and services, should provide for accessibility to persons with disabilities</w:t>
      </w:r>
      <w:r w:rsidR="00F06B3C">
        <w:rPr>
          <w:sz w:val="20"/>
        </w:rPr>
        <w:t xml:space="preserve">, whether in the </w:t>
      </w:r>
      <w:r w:rsidR="00FA54EA" w:rsidRPr="00F06B3C">
        <w:rPr>
          <w:sz w:val="20"/>
        </w:rPr>
        <w:t>solutions themselves or in the business process which they support.</w:t>
      </w:r>
    </w:p>
    <w:p w:rsidR="00B54856" w:rsidRPr="00F06B3C" w:rsidRDefault="00B54856" w:rsidP="00B54856">
      <w:pPr>
        <w:rPr>
          <w:b/>
          <w:sz w:val="20"/>
        </w:rPr>
      </w:pPr>
      <w:r w:rsidRPr="00F06B3C">
        <w:rPr>
          <w:b/>
          <w:sz w:val="20"/>
        </w:rPr>
        <w:t>Apps for Mobile and Tablet Devices</w:t>
      </w:r>
    </w:p>
    <w:p w:rsidR="00313D88" w:rsidRPr="00F06B3C" w:rsidRDefault="000C5B01" w:rsidP="00A541A2">
      <w:pPr>
        <w:spacing w:line="240" w:lineRule="auto"/>
        <w:ind w:left="270" w:hanging="270"/>
        <w:rPr>
          <w:sz w:val="20"/>
        </w:rPr>
      </w:pPr>
      <w:sdt>
        <w:sdtPr>
          <w:rPr>
            <w:b/>
            <w:sz w:val="20"/>
          </w:rPr>
          <w:id w:val="-2082439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B0E3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0E3A" w:rsidRPr="00F06B3C">
        <w:rPr>
          <w:b/>
          <w:sz w:val="20"/>
        </w:rPr>
        <w:t xml:space="preserve">  </w:t>
      </w:r>
      <w:r w:rsidR="00B54856" w:rsidRPr="00F06B3C">
        <w:rPr>
          <w:sz w:val="20"/>
        </w:rPr>
        <w:t>Apps for mobile and tablet devices require special processing to meet audit controls to ensure ownership by the university.  Please consult with IT, Allen DeVane, Lorrie Proal, or Joe Newton.</w:t>
      </w:r>
      <w:r w:rsidR="00C9244D" w:rsidRPr="00F06B3C">
        <w:rPr>
          <w:sz w:val="20"/>
        </w:rPr>
        <w:t xml:space="preserve">  </w:t>
      </w:r>
    </w:p>
    <w:tbl>
      <w:tblPr>
        <w:tblpPr w:leftFromText="180" w:rightFromText="180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6"/>
      </w:tblGrid>
      <w:sdt>
        <w:sdtPr>
          <w:rPr>
            <w:b/>
            <w:i/>
            <w:sz w:val="20"/>
            <w:u w:val="single"/>
          </w:rPr>
          <w:id w:val="-1360504082"/>
          <w:placeholder>
            <w:docPart w:val="60E13759787A4DD9981717B95ED26371"/>
          </w:placeholder>
        </w:sdtPr>
        <w:sdtEndPr>
          <w:rPr>
            <w:u w:val="none"/>
          </w:rPr>
        </w:sdtEndPr>
        <w:sdtContent>
          <w:tr w:rsidR="006B0E06" w:rsidTr="00A541A2">
            <w:trPr>
              <w:trHeight w:val="4487"/>
            </w:trPr>
            <w:tc>
              <w:tcPr>
                <w:tcW w:w="7206" w:type="dxa"/>
              </w:tcPr>
              <w:p w:rsidR="006B0E06" w:rsidRPr="006B0E06" w:rsidRDefault="006B0E06" w:rsidP="006B0E06">
                <w:pPr>
                  <w:rPr>
                    <w:b/>
                    <w:i/>
                    <w:sz w:val="20"/>
                  </w:rPr>
                </w:pPr>
                <w:r w:rsidRPr="006B0E06">
                  <w:rPr>
                    <w:b/>
                    <w:i/>
                    <w:sz w:val="20"/>
                    <w:u w:val="single"/>
                  </w:rPr>
                  <w:t>Reviewer’s Comments</w:t>
                </w:r>
                <w:r>
                  <w:rPr>
                    <w:b/>
                    <w:i/>
                    <w:sz w:val="20"/>
                    <w:u w:val="single"/>
                  </w:rPr>
                  <w:t xml:space="preserve"> </w:t>
                </w:r>
                <w:r w:rsidRPr="006B0E06">
                  <w:rPr>
                    <w:i/>
                    <w:sz w:val="20"/>
                    <w:u w:val="single"/>
                  </w:rPr>
                  <w:t>(additional)</w:t>
                </w:r>
                <w:r w:rsidRPr="006B0E06">
                  <w:rPr>
                    <w:b/>
                    <w:i/>
                    <w:sz w:val="20"/>
                  </w:rPr>
                  <w:t>:</w:t>
                </w:r>
              </w:p>
            </w:tc>
          </w:tr>
        </w:sdtContent>
      </w:sdt>
    </w:tbl>
    <w:p w:rsidR="00313D88" w:rsidRPr="00F06B3C" w:rsidRDefault="00313D88" w:rsidP="00B54856">
      <w:pPr>
        <w:ind w:left="720" w:hanging="720"/>
        <w:rPr>
          <w:sz w:val="20"/>
        </w:rPr>
      </w:pPr>
    </w:p>
    <w:p w:rsidR="006B0E06" w:rsidRPr="00F06B3C" w:rsidRDefault="00C9244D" w:rsidP="00B54856">
      <w:pPr>
        <w:ind w:left="720" w:hanging="720"/>
        <w:rPr>
          <w:b/>
          <w:sz w:val="20"/>
        </w:rPr>
      </w:pPr>
      <w:r w:rsidRPr="00F06B3C">
        <w:rPr>
          <w:b/>
          <w:sz w:val="20"/>
        </w:rPr>
        <w:t>Contact:</w:t>
      </w:r>
    </w:p>
    <w:p w:rsidR="00C9244D" w:rsidRPr="00F06B3C" w:rsidRDefault="00313D88" w:rsidP="00F06B3C">
      <w:pPr>
        <w:rPr>
          <w:sz w:val="20"/>
        </w:rPr>
      </w:pPr>
      <w:r w:rsidRPr="00F06B3C">
        <w:rPr>
          <w:sz w:val="20"/>
        </w:rPr>
        <w:t>Allen DeVa</w:t>
      </w:r>
      <w:r w:rsidR="00F06B3C">
        <w:rPr>
          <w:sz w:val="20"/>
        </w:rPr>
        <w:t>ne, Lorrie Proal, or Joe Newton</w:t>
      </w:r>
      <w:r w:rsidR="00F06B3C">
        <w:rPr>
          <w:sz w:val="20"/>
        </w:rPr>
        <w:br/>
      </w:r>
      <w:r w:rsidRPr="00F06B3C">
        <w:rPr>
          <w:sz w:val="20"/>
        </w:rPr>
        <w:t>229-333-5974</w:t>
      </w:r>
      <w:r w:rsidRPr="00F06B3C">
        <w:rPr>
          <w:sz w:val="20"/>
        </w:rPr>
        <w:br/>
      </w:r>
      <w:hyperlink r:id="rId8" w:history="1">
        <w:r w:rsidR="00C9244D" w:rsidRPr="00F06B3C">
          <w:rPr>
            <w:rStyle w:val="Hyperlink"/>
            <w:sz w:val="20"/>
          </w:rPr>
          <w:t>itpurchasing@valdosta.edu</w:t>
        </w:r>
      </w:hyperlink>
    </w:p>
    <w:p w:rsidR="00BE67B4" w:rsidRPr="00F06B3C" w:rsidRDefault="00BE67B4" w:rsidP="008C6430">
      <w:pPr>
        <w:rPr>
          <w:sz w:val="20"/>
        </w:rPr>
      </w:pPr>
    </w:p>
    <w:sectPr w:rsidR="00BE67B4" w:rsidRPr="00F06B3C" w:rsidSect="009B6DD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01" w:rsidRDefault="000C5B01" w:rsidP="001D670C">
      <w:pPr>
        <w:spacing w:after="0" w:line="240" w:lineRule="auto"/>
      </w:pPr>
      <w:r>
        <w:separator/>
      </w:r>
    </w:p>
  </w:endnote>
  <w:endnote w:type="continuationSeparator" w:id="0">
    <w:p w:rsidR="000C5B01" w:rsidRDefault="000C5B01" w:rsidP="001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8C" w:rsidRDefault="0008348C" w:rsidP="00E216C8">
    <w:pPr>
      <w:pStyle w:val="Footer"/>
      <w:pBdr>
        <w:top w:val="single" w:sz="4" w:space="1" w:color="auto"/>
      </w:pBdr>
    </w:pPr>
    <w:r>
      <w:t>Revision 1-9-2014</w:t>
    </w:r>
    <w:r>
      <w:ptab w:relativeTo="margin" w:alignment="center" w:leader="none"/>
    </w:r>
    <w:sdt>
      <w:sdtPr>
        <w:alias w:val="Title"/>
        <w:tag w:val=""/>
        <w:id w:val="-1532949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VSU IT EDP Checklist</w:t>
        </w:r>
      </w:sdtContent>
    </w:sdt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5B01">
      <w:rPr>
        <w:noProof/>
      </w:rPr>
      <w:t>2</w:t>
    </w:r>
    <w:r>
      <w:fldChar w:fldCharType="end"/>
    </w:r>
    <w:r>
      <w:t xml:space="preserve"> of </w:t>
    </w:r>
    <w:r w:rsidR="000C5B01">
      <w:fldChar w:fldCharType="begin"/>
    </w:r>
    <w:r w:rsidR="000C5B01">
      <w:instrText xml:space="preserve"> NUMPAGES  \* Arabic  \* MERGEFORMAT </w:instrText>
    </w:r>
    <w:r w:rsidR="000C5B01">
      <w:fldChar w:fldCharType="separate"/>
    </w:r>
    <w:r w:rsidR="000C5B01">
      <w:rPr>
        <w:noProof/>
      </w:rPr>
      <w:t>2</w:t>
    </w:r>
    <w:r w:rsidR="000C5B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01" w:rsidRDefault="000C5B01" w:rsidP="001D670C">
      <w:pPr>
        <w:spacing w:after="0" w:line="240" w:lineRule="auto"/>
      </w:pPr>
      <w:r>
        <w:separator/>
      </w:r>
    </w:p>
  </w:footnote>
  <w:footnote w:type="continuationSeparator" w:id="0">
    <w:p w:rsidR="000C5B01" w:rsidRDefault="000C5B01" w:rsidP="001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8C" w:rsidRDefault="00083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B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CF156D"/>
    <w:multiLevelType w:val="hybridMultilevel"/>
    <w:tmpl w:val="61A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01"/>
    <w:rsid w:val="000337D3"/>
    <w:rsid w:val="0008348C"/>
    <w:rsid w:val="00096E24"/>
    <w:rsid w:val="000C51B0"/>
    <w:rsid w:val="000C5B01"/>
    <w:rsid w:val="000E004B"/>
    <w:rsid w:val="000E2495"/>
    <w:rsid w:val="000E2D7C"/>
    <w:rsid w:val="000E646C"/>
    <w:rsid w:val="000F499D"/>
    <w:rsid w:val="00157103"/>
    <w:rsid w:val="001C6406"/>
    <w:rsid w:val="001D670C"/>
    <w:rsid w:val="00230987"/>
    <w:rsid w:val="00265332"/>
    <w:rsid w:val="002D20D0"/>
    <w:rsid w:val="00313D88"/>
    <w:rsid w:val="0033004F"/>
    <w:rsid w:val="00340C96"/>
    <w:rsid w:val="003909C2"/>
    <w:rsid w:val="00393C6D"/>
    <w:rsid w:val="003C69A5"/>
    <w:rsid w:val="003F190F"/>
    <w:rsid w:val="0042793D"/>
    <w:rsid w:val="004A6423"/>
    <w:rsid w:val="00546C99"/>
    <w:rsid w:val="00570BC1"/>
    <w:rsid w:val="00572812"/>
    <w:rsid w:val="005C433C"/>
    <w:rsid w:val="005D1AFB"/>
    <w:rsid w:val="005E59B4"/>
    <w:rsid w:val="00670EF0"/>
    <w:rsid w:val="006922F9"/>
    <w:rsid w:val="006952A9"/>
    <w:rsid w:val="006B0E06"/>
    <w:rsid w:val="006F4F0F"/>
    <w:rsid w:val="007037AD"/>
    <w:rsid w:val="00776136"/>
    <w:rsid w:val="007C0F92"/>
    <w:rsid w:val="008521A5"/>
    <w:rsid w:val="00886A3C"/>
    <w:rsid w:val="008B265E"/>
    <w:rsid w:val="008C6430"/>
    <w:rsid w:val="009B6DD9"/>
    <w:rsid w:val="009D5354"/>
    <w:rsid w:val="00A541A2"/>
    <w:rsid w:val="00B02847"/>
    <w:rsid w:val="00B0514E"/>
    <w:rsid w:val="00B211AA"/>
    <w:rsid w:val="00B453F1"/>
    <w:rsid w:val="00B54856"/>
    <w:rsid w:val="00BA4768"/>
    <w:rsid w:val="00BD03AC"/>
    <w:rsid w:val="00BD76F8"/>
    <w:rsid w:val="00BE67B4"/>
    <w:rsid w:val="00BF751C"/>
    <w:rsid w:val="00C0474C"/>
    <w:rsid w:val="00C52250"/>
    <w:rsid w:val="00C87EF1"/>
    <w:rsid w:val="00C9244D"/>
    <w:rsid w:val="00CD2E3D"/>
    <w:rsid w:val="00CE174B"/>
    <w:rsid w:val="00D23890"/>
    <w:rsid w:val="00D35253"/>
    <w:rsid w:val="00DF5906"/>
    <w:rsid w:val="00E216C8"/>
    <w:rsid w:val="00E51A4E"/>
    <w:rsid w:val="00E63B3D"/>
    <w:rsid w:val="00EB0E3A"/>
    <w:rsid w:val="00EE56EC"/>
    <w:rsid w:val="00F06B3C"/>
    <w:rsid w:val="00F114E5"/>
    <w:rsid w:val="00F14938"/>
    <w:rsid w:val="00F71654"/>
    <w:rsid w:val="00FA54EA"/>
    <w:rsid w:val="00FB43A0"/>
    <w:rsid w:val="00FC0659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0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0C"/>
  </w:style>
  <w:style w:type="paragraph" w:styleId="Footer">
    <w:name w:val="footer"/>
    <w:basedOn w:val="Normal"/>
    <w:link w:val="FooterChar"/>
    <w:uiPriority w:val="99"/>
    <w:unhideWhenUsed/>
    <w:rsid w:val="001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0C"/>
  </w:style>
  <w:style w:type="paragraph" w:styleId="BalloonText">
    <w:name w:val="Balloon Text"/>
    <w:basedOn w:val="Normal"/>
    <w:link w:val="BalloonTextChar"/>
    <w:uiPriority w:val="99"/>
    <w:semiHidden/>
    <w:unhideWhenUsed/>
    <w:rsid w:val="001D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70C"/>
    <w:rPr>
      <w:color w:val="808080"/>
    </w:rPr>
  </w:style>
  <w:style w:type="table" w:styleId="TableGrid">
    <w:name w:val="Table Grid"/>
    <w:basedOn w:val="TableNormal"/>
    <w:uiPriority w:val="59"/>
    <w:rsid w:val="009B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249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57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qFormat/>
    <w:rsid w:val="00C5225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0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0C"/>
  </w:style>
  <w:style w:type="paragraph" w:styleId="Footer">
    <w:name w:val="footer"/>
    <w:basedOn w:val="Normal"/>
    <w:link w:val="FooterChar"/>
    <w:uiPriority w:val="99"/>
    <w:unhideWhenUsed/>
    <w:rsid w:val="001D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0C"/>
  </w:style>
  <w:style w:type="paragraph" w:styleId="BalloonText">
    <w:name w:val="Balloon Text"/>
    <w:basedOn w:val="Normal"/>
    <w:link w:val="BalloonTextChar"/>
    <w:uiPriority w:val="99"/>
    <w:semiHidden/>
    <w:unhideWhenUsed/>
    <w:rsid w:val="001D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70C"/>
    <w:rPr>
      <w:color w:val="808080"/>
    </w:rPr>
  </w:style>
  <w:style w:type="table" w:styleId="TableGrid">
    <w:name w:val="Table Grid"/>
    <w:basedOn w:val="TableNormal"/>
    <w:uiPriority w:val="59"/>
    <w:rsid w:val="009B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249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57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qFormat/>
    <w:rsid w:val="00C5225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purchasing@valdost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ept\Purchasing_Shared\Information%20Technology\!Eprocurement\Purchasing%20Processes\Information%20Technology%20Purchasing%20Process\IT-EDP-checklist-2014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13759787A4DD9981717B95ED2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A74B-BBE2-4B38-9882-B2DBC3A31204}"/>
      </w:docPartPr>
      <w:docPartBody>
        <w:p w:rsidR="00000000" w:rsidRDefault="00B618B4">
          <w:pPr>
            <w:pStyle w:val="60E13759787A4DD9981717B95ED26371"/>
          </w:pPr>
          <w:r w:rsidRPr="00E24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13759787A4DD9981717B95ED26371">
    <w:name w:val="60E13759787A4DD9981717B95ED26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13759787A4DD9981717B95ED26371">
    <w:name w:val="60E13759787A4DD9981717B95ED26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IT-EDP-checklist-2014c</Template>
  <TotalTime>19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VSU IT EDP Checklist</vt:lpstr>
    </vt:vector>
  </TitlesOfParts>
  <Company>Valdosta State University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VSU IT EDP Checklist</dc:title>
  <dc:creator>Lorrie S Proal</dc:creator>
  <cp:lastModifiedBy>Lorrie S Proal</cp:lastModifiedBy>
  <cp:revision>1</cp:revision>
  <cp:lastPrinted>2013-09-04T13:19:00Z</cp:lastPrinted>
  <dcterms:created xsi:type="dcterms:W3CDTF">2014-04-11T11:43:00Z</dcterms:created>
  <dcterms:modified xsi:type="dcterms:W3CDTF">2014-04-11T12:04:00Z</dcterms:modified>
</cp:coreProperties>
</file>